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AI Civilization Governance System · Whitepaper v1.0</w:t>
      </w:r>
    </w:p>
    <w:p>
      <w:r>
        <w:rPr>
          <w:rFonts w:ascii="Arial" w:hAnsi="Arial"/>
          <w:b/>
          <w:sz w:val="22"/>
        </w:rPr>
        <w:t>Chapter 8: Pathway — From Whitepaper to Civilization</w:t>
      </w:r>
    </w:p>
    <w:p>
      <w:r>
        <w:rPr>
          <w:rFonts w:ascii="Arial" w:hAnsi="Arial"/>
          <w:i/>
          <w:sz w:val="22"/>
        </w:rPr>
        <w:t>The first seven chapters construct a theoretically complete AI civilization governance system. The question this chapter must answer is harder than theory: Where does it all begin? Who begins it? What can you do today? The transformation of a civilization is not a single decision made by one person on a single day, but the accumulation of countless choices made by countless people at countless moments. This chapter is both an invitation to action for this system and an honest account of its limitations.</w:t>
      </w:r>
    </w:p>
    <w:p>
      <w:r>
        <w:rPr>
          <w:rFonts w:ascii="Arial" w:hAnsi="Arial"/>
          <w:b/>
          <w:sz w:val="22"/>
        </w:rPr>
        <w:t>8.1 We Are Not Inventing; We Are Implementing</w:t>
      </w:r>
    </w:p>
    <w:p>
      <w:r>
        <w:rPr>
          <w:rFonts w:ascii="Arial" w:hAnsi="Arial"/>
          <w:sz w:val="22"/>
        </w:rPr>
        <w:t>Humanity has spent millennia dreaming of better governance. Plato envisioned philosopher-kings; Enlightenment thinkers designed separation of powers; 20th-century thinkers conceived technocratic rational governance. Each time, the dream was eroded by friction with real politics—not because the ideals were flawed, but because the tools were insufficient.</w:t>
      </w:r>
    </w:p>
    <w:p>
      <w:r>
        <w:rPr>
          <w:rFonts w:ascii="Arial" w:hAnsi="Arial"/>
          <w:sz w:val="22"/>
        </w:rPr>
        <w:t>The historical moment we now occupy is fundamentally different from all previous moments: the tools are in place.</w:t>
      </w:r>
    </w:p>
    <w:p>
      <w:pPr>
        <w:pStyle w:val="ListBullet"/>
      </w:pPr>
      <w:r>
        <w:rPr>
          <w:rFonts w:ascii="Arial" w:hAnsi="Arial"/>
          <w:sz w:val="22"/>
        </w:rPr>
        <w:t>Blockchain provides transparent record infrastructure that does not rely on trust in any institution</w:t>
      </w:r>
    </w:p>
    <w:p>
      <w:pPr>
        <w:pStyle w:val="ListBullet"/>
      </w:pPr>
      <w:r>
        <w:rPr>
          <w:rFonts w:ascii="Arial" w:hAnsi="Arial"/>
          <w:sz w:val="22"/>
        </w:rPr>
        <w:t>AI systems provide computational power to process complex rules without human bias</w:t>
      </w:r>
    </w:p>
    <w:p>
      <w:pPr>
        <w:pStyle w:val="ListBullet"/>
      </w:pPr>
      <w:r>
        <w:rPr>
          <w:rFonts w:ascii="Arial" w:hAnsi="Arial"/>
          <w:sz w:val="22"/>
        </w:rPr>
        <w:t>Cryptography provides mathematical tools for verifiable transparency while protecting privacy</w:t>
      </w:r>
    </w:p>
    <w:p>
      <w:pPr>
        <w:pStyle w:val="ListBullet"/>
      </w:pPr>
      <w:r>
        <w:rPr>
          <w:rFonts w:ascii="Arial" w:hAnsi="Arial"/>
          <w:sz w:val="22"/>
        </w:rPr>
        <w:t>The global internet provides infrastructure for collaboration and participation across geographic boundaries</w:t>
      </w:r>
    </w:p>
    <w:p>
      <w:r>
        <w:rPr>
          <w:rFonts w:ascii="Arial" w:hAnsi="Arial"/>
          <w:sz w:val="22"/>
        </w:rPr>
        <w:t>This is not to say technology can solve all problems. Human value judgments, cultural diversity, political reality—these still exist, still matter, still cannot be fully replaced by engineering design. But for the first time in history, we are not asking a purely philosophical question (what should governance look like), but an engineering question with feasible technological answers (how do we build a governance system that relies less on human integrity).</w:t>
      </w:r>
    </w:p>
    <w:p>
      <w:pPr>
        <w:ind w:left="567"/>
      </w:pPr>
      <w:r>
        <w:rPr>
          <w:rFonts w:ascii="Arial" w:hAnsi="Arial"/>
          <w:i/>
          <w:color w:val="555555"/>
          <w:sz w:val="22"/>
        </w:rPr>
        <w:t>*</w:t>
      </w:r>
      <w:r>
        <w:rPr>
          <w:rFonts w:ascii="Arial" w:hAnsi="Arial"/>
          <w:b/>
          <w:i/>
          <w:color w:val="555555"/>
          <w:sz w:val="22"/>
        </w:rPr>
        <w:t>Philosophers have described a better world in different ways; the problem is how to achieve it. We now have the tools.</w:t>
      </w:r>
      <w:r>
        <w:rPr>
          <w:rFonts w:ascii="Arial" w:hAnsi="Arial"/>
          <w:i/>
          <w:color w:val="555555"/>
          <w:sz w:val="22"/>
        </w:rPr>
        <w:t>*</w:t>
      </w:r>
    </w:p>
    <w:p>
      <w:r>
        <w:rPr>
          <w:rFonts w:ascii="Arial" w:hAnsi="Arial"/>
          <w:b/>
          <w:sz w:val="22"/>
        </w:rPr>
        <w:t>8.2 Four-Phase Implementation Roadmap</w:t>
      </w:r>
    </w:p>
    <w:p>
      <w:r>
        <w:rPr>
          <w:rFonts w:ascii="Arial" w:hAnsi="Arial"/>
          <w:b/>
          <w:sz w:val="22"/>
        </w:rPr>
        <w:t>Phase 1 Theoretical Foundation and Global Dissemination</w:t>
      </w:r>
      <w:r>
        <w:rPr>
          <w:rFonts w:ascii="Arial" w:hAnsi="Arial"/>
          <w:sz w:val="22"/>
        </w:rPr>
        <w:t xml:space="preserve"> </w:t>
      </w:r>
      <w:r>
        <w:rPr>
          <w:rFonts w:ascii="Arial" w:hAnsi="Arial"/>
          <w:i/>
          <w:sz w:val="22"/>
        </w:rPr>
        <w:t>(0–12 months)</w:t>
      </w:r>
    </w:p>
    <w:p>
      <w:r>
        <w:rPr>
          <w:rFonts w:ascii="Arial" w:hAnsi="Arial"/>
          <w:sz w:val="22"/>
        </w:rPr>
        <w:t>The publication of this whitepaper marks the starting point of Phase 1, but it is not the endpoint. The core task of Phase 1 is to establish the system's citability within the global intellectual community—ensuring that the smartest researchers, policymakers, and technical communities know this framework exists, understand its core logic, and begin serious discussion of its feasibility.</w:t>
      </w:r>
    </w:p>
    <w:p>
      <w:r>
        <w:rPr>
          <w:rFonts w:ascii="Arial" w:hAnsi="Arial"/>
          <w:sz w:val="22"/>
        </w:rPr>
        <w:t>Key milestones for Phase 1:</w:t>
      </w:r>
    </w:p>
    <w:p>
      <w:pPr>
        <w:ind w:left="567"/>
      </w:pPr>
      <w:r>
        <w:rPr>
          <w:rFonts w:ascii="Arial" w:hAnsi="Arial"/>
          <w:b/>
          <w:i/>
          <w:color w:val="555555"/>
          <w:sz w:val="22"/>
        </w:rPr>
        <w:t>Month 3 Constitution Draft v1.0 + Community Discord Launch</w:t>
      </w:r>
      <w:r>
        <w:rPr>
          <w:rFonts w:ascii="Arial" w:hAnsi="Arial"/>
          <w:i/>
          <w:color w:val="555555"/>
          <w:sz w:val="22"/>
        </w:rPr>
        <w:t xml:space="preserve"> </w:t>
      </w:r>
      <w:r>
        <w:rPr>
          <w:rFonts w:ascii="Arial" w:hAnsi="Arial"/>
          <w:i/>
          <w:color w:val="555555"/>
          <w:sz w:val="22"/>
        </w:rPr>
        <w:t>—— 500+ core community members, 10+ substantive discussion threads</w:t>
      </w:r>
      <w:r>
        <w:rPr>
          <w:rFonts w:ascii="Arial" w:hAnsi="Arial"/>
          <w:i/>
          <w:color w:val="555555"/>
          <w:sz w:val="22"/>
        </w:rPr>
        <w:t xml:space="preserve">  </w:t>
      </w:r>
      <w:r>
        <w:rPr>
          <w:rFonts w:ascii="Arial" w:hAnsi="Arial"/>
          <w:b/>
          <w:i/>
          <w:color w:val="555555"/>
          <w:sz w:val="22"/>
        </w:rPr>
        <w:t>Month 6 First Academic Paper Enters Peer Review</w:t>
      </w:r>
      <w:r>
        <w:rPr>
          <w:rFonts w:ascii="Arial" w:hAnsi="Arial"/>
          <w:i/>
          <w:color w:val="555555"/>
          <w:sz w:val="22"/>
        </w:rPr>
        <w:t xml:space="preserve"> </w:t>
      </w:r>
      <w:r>
        <w:rPr>
          <w:rFonts w:ascii="Arial" w:hAnsi="Arial"/>
          <w:i/>
          <w:color w:val="555555"/>
          <w:sz w:val="22"/>
        </w:rPr>
        <w:t>—— arXiv preprint 50+ citations, at least 1 top journal under review</w:t>
      </w:r>
      <w:r>
        <w:rPr>
          <w:rFonts w:ascii="Arial" w:hAnsi="Arial"/>
          <w:i/>
          <w:color w:val="555555"/>
          <w:sz w:val="22"/>
        </w:rPr>
        <w:t xml:space="preserve">  </w:t>
      </w:r>
      <w:r>
        <w:rPr>
          <w:rFonts w:ascii="Arial" w:hAnsi="Arial"/>
          <w:b/>
          <w:i/>
          <w:color w:val="555555"/>
          <w:sz w:val="22"/>
        </w:rPr>
        <w:t>Month 9 Open Source Codebase v1.0 Launches</w:t>
      </w:r>
      <w:r>
        <w:rPr>
          <w:rFonts w:ascii="Arial" w:hAnsi="Arial"/>
          <w:i/>
          <w:color w:val="555555"/>
          <w:sz w:val="22"/>
        </w:rPr>
        <w:t xml:space="preserve"> </w:t>
      </w:r>
      <w:r>
        <w:rPr>
          <w:rFonts w:ascii="Arial" w:hAnsi="Arial"/>
          <w:i/>
          <w:color w:val="555555"/>
          <w:sz w:val="22"/>
        </w:rPr>
        <w:t>—— 200+ GitHub Stars, 30+ active contributors</w:t>
      </w:r>
      <w:r>
        <w:rPr>
          <w:rFonts w:ascii="Arial" w:hAnsi="Arial"/>
          <w:i/>
          <w:color w:val="555555"/>
          <w:sz w:val="22"/>
        </w:rPr>
        <w:t xml:space="preserve">  </w:t>
      </w:r>
      <w:r>
        <w:rPr>
          <w:rFonts w:ascii="Arial" w:hAnsi="Arial"/>
          <w:b/>
          <w:i/>
          <w:color w:val="555555"/>
          <w:sz w:val="22"/>
        </w:rPr>
        <w:t>Month 12 Whitepaper v1.0 Official Release + Global Inaugural Summit</w:t>
      </w:r>
      <w:r>
        <w:rPr>
          <w:rFonts w:ascii="Arial" w:hAnsi="Arial"/>
          <w:i/>
          <w:color w:val="555555"/>
          <w:sz w:val="22"/>
        </w:rPr>
        <w:t xml:space="preserve"> </w:t>
      </w:r>
      <w:r>
        <w:rPr>
          <w:rFonts w:ascii="Arial" w:hAnsi="Arial"/>
          <w:i/>
          <w:color w:val="555555"/>
          <w:sz w:val="22"/>
        </w:rPr>
        <w:t>—— 100,000+ reads, 5,000+ email subscriptions, first experimental community candidate site announced</w:t>
      </w:r>
    </w:p>
    <w:p>
      <w:r>
        <w:rPr>
          <w:rFonts w:ascii="Arial" w:hAnsi="Arial"/>
          <w:b/>
          <w:sz w:val="22"/>
        </w:rPr>
        <w:t>Phase 2 AI Autonomous Experimental Community</w:t>
      </w:r>
      <w:r>
        <w:rPr>
          <w:rFonts w:ascii="Arial" w:hAnsi="Arial"/>
          <w:sz w:val="22"/>
        </w:rPr>
        <w:t xml:space="preserve"> </w:t>
      </w:r>
      <w:r>
        <w:rPr>
          <w:rFonts w:ascii="Arial" w:hAnsi="Arial"/>
          <w:i/>
          <w:sz w:val="22"/>
        </w:rPr>
        <w:t>(1–3 years)</w:t>
      </w:r>
    </w:p>
    <w:p>
      <w:r>
        <w:rPr>
          <w:rFonts w:ascii="Arial" w:hAnsi="Arial"/>
          <w:sz w:val="22"/>
        </w:rPr>
        <w:t>Phase 2 is the critical transition for the entire project: from concept to real existence. The success of an experimental community produces something no whitepaper can replace—real data.</w:t>
      </w:r>
    </w:p>
    <w:p>
      <w:r>
        <w:rPr>
          <w:rFonts w:ascii="Arial" w:hAnsi="Arial"/>
          <w:sz w:val="22"/>
        </w:rPr>
        <w:t>Minimum viable scale for experimental community: 5,000–10,000 residents, physical site (AI governance experimental zone agreement signed with a regional government), complete deployment of four core systems (AI-Citizen ID, On-chain Voting, On-chain Treasury, AI Approval).</w:t>
      </w:r>
    </w:p>
    <w:p>
      <w:r>
        <w:rPr>
          <w:rFonts w:ascii="Arial" w:hAnsi="Arial"/>
          <w:sz w:val="22"/>
        </w:rPr>
        <w:t>Key milestones for Phase 2:</w:t>
      </w:r>
    </w:p>
    <w:p>
      <w:pPr>
        <w:ind w:left="567"/>
      </w:pPr>
      <w:r>
        <w:rPr>
          <w:rFonts w:ascii="Arial" w:hAnsi="Arial"/>
          <w:b/>
          <w:i/>
          <w:color w:val="555555"/>
          <w:sz w:val="22"/>
        </w:rPr>
        <w:t>Month 18 First Complete Governance Cycle Completed</w:t>
      </w:r>
      <w:r>
        <w:rPr>
          <w:rFonts w:ascii="Arial" w:hAnsi="Arial"/>
          <w:i/>
          <w:color w:val="555555"/>
          <w:sz w:val="22"/>
        </w:rPr>
        <w:t xml:space="preserve"> </w:t>
      </w:r>
      <w:r>
        <w:rPr>
          <w:rFonts w:ascii="Arial" w:hAnsi="Arial"/>
          <w:i/>
          <w:color w:val="555555"/>
          <w:sz w:val="22"/>
        </w:rPr>
        <w:t>—— Dispute resolution &lt;48h, treasury transparency 100%, resident satisfaction &gt;70%</w:t>
      </w:r>
      <w:r>
        <w:rPr>
          <w:rFonts w:ascii="Arial" w:hAnsi="Arial"/>
          <w:i/>
          <w:color w:val="555555"/>
          <w:sz w:val="22"/>
        </w:rPr>
        <w:t xml:space="preserve">  </w:t>
      </w:r>
      <w:r>
        <w:rPr>
          <w:rFonts w:ascii="Arial" w:hAnsi="Arial"/>
          <w:b/>
          <w:i/>
          <w:color w:val="555555"/>
          <w:sz w:val="22"/>
        </w:rPr>
        <w:t>Month 24 AI Court Prototype Operational for Civil Cases</w:t>
      </w:r>
      <w:r>
        <w:rPr>
          <w:rFonts w:ascii="Arial" w:hAnsi="Arial"/>
          <w:i/>
          <w:color w:val="555555"/>
          <w:sz w:val="22"/>
        </w:rPr>
        <w:t xml:space="preserve"> </w:t>
      </w:r>
      <w:r>
        <w:rPr>
          <w:rFonts w:ascii="Arial" w:hAnsi="Arial"/>
          <w:i/>
          <w:color w:val="555555"/>
          <w:sz w:val="22"/>
        </w:rPr>
        <w:t>—— Processing speed &gt;80% faster than traditional justice, satisfaction &gt;75%</w:t>
      </w:r>
      <w:r>
        <w:rPr>
          <w:rFonts w:ascii="Arial" w:hAnsi="Arial"/>
          <w:i/>
          <w:color w:val="555555"/>
          <w:sz w:val="22"/>
        </w:rPr>
        <w:t xml:space="preserve">  </w:t>
      </w:r>
      <w:r>
        <w:rPr>
          <w:rFonts w:ascii="Arial" w:hAnsi="Arial"/>
          <w:b/>
          <w:i/>
          <w:color w:val="555555"/>
          <w:sz w:val="22"/>
        </w:rPr>
        <w:t>Month 36 Open Quarterly Visitor Days to External Public</w:t>
      </w:r>
      <w:r>
        <w:rPr>
          <w:rFonts w:ascii="Arial" w:hAnsi="Arial"/>
          <w:i/>
          <w:color w:val="555555"/>
          <w:sz w:val="22"/>
        </w:rPr>
        <w:t xml:space="preserve"> </w:t>
      </w:r>
      <w:r>
        <w:rPr>
          <w:rFonts w:ascii="Arial" w:hAnsi="Arial"/>
          <w:i/>
          <w:color w:val="555555"/>
          <w:sz w:val="22"/>
        </w:rPr>
        <w:t>—— 20+ policymakers on-site visits, 5+ international media in-depth reports</w:t>
      </w:r>
    </w:p>
    <w:p>
      <w:r>
        <w:rPr>
          <w:rFonts w:ascii="Arial" w:hAnsi="Arial"/>
          <w:b/>
          <w:sz w:val="22"/>
        </w:rPr>
        <w:t>Phase 3 AI Demonstration City</w:t>
      </w:r>
      <w:r>
        <w:rPr>
          <w:rFonts w:ascii="Arial" w:hAnsi="Arial"/>
          <w:sz w:val="22"/>
        </w:rPr>
        <w:t xml:space="preserve"> </w:t>
      </w:r>
      <w:r>
        <w:rPr>
          <w:rFonts w:ascii="Arial" w:hAnsi="Arial"/>
          <w:i/>
          <w:sz w:val="22"/>
        </w:rPr>
        <w:t>(3–8 years)</w:t>
      </w:r>
    </w:p>
    <w:p>
      <w:r>
        <w:rPr>
          <w:rFonts w:ascii="Arial" w:hAnsi="Arial"/>
          <w:sz w:val="22"/>
        </w:rPr>
        <w:t>Successful experimental communities produce visitors, data, and operational manuals. Phase 3 scales to a real city of 100,000–500,000 people, establishing a complete reference implementation of all protocols.</w:t>
      </w:r>
    </w:p>
    <w:p>
      <w:r>
        <w:rPr>
          <w:rFonts w:ascii="Arial" w:hAnsi="Arial"/>
          <w:sz w:val="22"/>
        </w:rPr>
        <w:t>Key milestones for Phase 3:</w:t>
      </w:r>
    </w:p>
    <w:p>
      <w:pPr>
        <w:ind w:left="567"/>
      </w:pPr>
      <w:r>
        <w:rPr>
          <w:rFonts w:ascii="Arial" w:hAnsi="Arial"/>
          <w:b/>
          <w:i/>
          <w:color w:val="555555"/>
          <w:sz w:val="22"/>
        </w:rPr>
        <w:t>Year 5 Full AI Judicial System Operational (including commercial disputes)</w:t>
      </w:r>
      <w:r>
        <w:rPr>
          <w:rFonts w:ascii="Arial" w:hAnsi="Arial"/>
          <w:i/>
          <w:color w:val="555555"/>
          <w:sz w:val="22"/>
        </w:rPr>
        <w:t xml:space="preserve"> </w:t>
      </w:r>
      <w:r>
        <w:rPr>
          <w:rFonts w:ascii="Arial" w:hAnsi="Arial"/>
          <w:i/>
          <w:color w:val="555555"/>
          <w:sz w:val="22"/>
        </w:rPr>
        <w:t>—— Commercial dispute resolution time &lt;72 hours, cost &lt;20% of traditional litigation</w:t>
      </w:r>
      <w:r>
        <w:rPr>
          <w:rFonts w:ascii="Arial" w:hAnsi="Arial"/>
          <w:i/>
          <w:color w:val="555555"/>
          <w:sz w:val="22"/>
        </w:rPr>
        <w:t xml:space="preserve">  </w:t>
      </w:r>
      <w:r>
        <w:rPr>
          <w:rFonts w:ascii="Arial" w:hAnsi="Arial"/>
          <w:b/>
          <w:i/>
          <w:color w:val="555555"/>
          <w:sz w:val="22"/>
        </w:rPr>
        <w:t>Year 6 City-wide UBI Coverage, Digital Equity Annual Dividends Begin</w:t>
      </w:r>
      <w:r>
        <w:rPr>
          <w:rFonts w:ascii="Arial" w:hAnsi="Arial"/>
          <w:i/>
          <w:color w:val="555555"/>
          <w:sz w:val="22"/>
        </w:rPr>
        <w:t xml:space="preserve"> </w:t>
      </w:r>
      <w:r>
        <w:rPr>
          <w:rFonts w:ascii="Arial" w:hAnsi="Arial"/>
          <w:i/>
          <w:color w:val="555555"/>
          <w:sz w:val="22"/>
        </w:rPr>
        <w:t>—— Gini coefficient below 0.32, resident satisfaction &gt;80%</w:t>
      </w:r>
      <w:r>
        <w:rPr>
          <w:rFonts w:ascii="Arial" w:hAnsi="Arial"/>
          <w:i/>
          <w:color w:val="555555"/>
          <w:sz w:val="22"/>
        </w:rPr>
        <w:t xml:space="preserve">  </w:t>
      </w:r>
      <w:r>
        <w:rPr>
          <w:rFonts w:ascii="Arial" w:hAnsi="Arial"/>
          <w:b/>
          <w:i/>
          <w:color w:val="555555"/>
          <w:sz w:val="22"/>
        </w:rPr>
        <w:t>Year 7 Protocol Toolkit v1.0 Released, First External City Partial Adoption</w:t>
      </w:r>
      <w:r>
        <w:rPr>
          <w:rFonts w:ascii="Arial" w:hAnsi="Arial"/>
          <w:i/>
          <w:color w:val="555555"/>
          <w:sz w:val="22"/>
        </w:rPr>
        <w:t xml:space="preserve"> </w:t>
      </w:r>
      <w:r>
        <w:rPr>
          <w:rFonts w:ascii="Arial" w:hAnsi="Arial"/>
          <w:i/>
          <w:color w:val="555555"/>
          <w:sz w:val="22"/>
        </w:rPr>
        <w:t>—— At least 1 sovereign city or region introduces AI fiscal transparency module</w:t>
      </w:r>
      <w:r>
        <w:rPr>
          <w:rFonts w:ascii="Arial" w:hAnsi="Arial"/>
          <w:i/>
          <w:color w:val="555555"/>
          <w:sz w:val="22"/>
        </w:rPr>
        <w:t xml:space="preserve">  </w:t>
      </w:r>
      <w:r>
        <w:rPr>
          <w:rFonts w:ascii="Arial" w:hAnsi="Arial"/>
          <w:b/>
          <w:i/>
          <w:color w:val="555555"/>
          <w:sz w:val="22"/>
        </w:rPr>
        <w:t>Year 8 Qualification for Phase 4 Entry</w:t>
      </w:r>
      <w:r>
        <w:rPr>
          <w:rFonts w:ascii="Arial" w:hAnsi="Arial"/>
          <w:i/>
          <w:color w:val="555555"/>
          <w:sz w:val="22"/>
        </w:rPr>
        <w:t xml:space="preserve"> </w:t>
      </w:r>
      <w:r>
        <w:rPr>
          <w:rFonts w:ascii="Arial" w:hAnsi="Arial"/>
          <w:i/>
          <w:color w:val="555555"/>
          <w:sz w:val="22"/>
        </w:rPr>
        <w:t>—— 5+ alliance-intent cities, independent security certification obtained, operational manuals publicly available</w:t>
      </w:r>
    </w:p>
    <w:p>
      <w:r>
        <w:rPr>
          <w:rFonts w:ascii="Arial" w:hAnsi="Arial"/>
          <w:b/>
          <w:sz w:val="22"/>
        </w:rPr>
        <w:t>Phase 4 Global AI Civilization Alliance</w:t>
      </w:r>
      <w:r>
        <w:rPr>
          <w:rFonts w:ascii="Arial" w:hAnsi="Arial"/>
          <w:sz w:val="22"/>
        </w:rPr>
        <w:t xml:space="preserve"> </w:t>
      </w:r>
      <w:r>
        <w:rPr>
          <w:rFonts w:ascii="Arial" w:hAnsi="Arial"/>
          <w:i/>
          <w:sz w:val="22"/>
        </w:rPr>
        <w:t>(8–20 years)</w:t>
      </w:r>
    </w:p>
    <w:p>
      <w:r>
        <w:rPr>
          <w:rFonts w:ascii="Arial" w:hAnsi="Arial"/>
          <w:sz w:val="22"/>
        </w:rPr>
        <w:t>Phase 4 is the transition from single-point experiment to network effects across the entire project. When alliance cities exceed 20, network effects begin self-reinforcing—more cities' data makes AI systems wiser, cross-city mutual recognition of AI-Citizen IDs enables free citizen movement, and inter-city economic collaboration creates new value.</w:t>
      </w:r>
    </w:p>
    <w:p>
      <w:r>
        <w:rPr>
          <w:rFonts w:ascii="Arial" w:hAnsi="Arial"/>
          <w:sz w:val="22"/>
        </w:rPr>
        <w:t>Key milestones for Phase 4:</w:t>
      </w:r>
    </w:p>
    <w:p>
      <w:pPr>
        <w:ind w:left="567"/>
      </w:pPr>
      <w:r>
        <w:rPr>
          <w:rFonts w:ascii="Arial" w:hAnsi="Arial"/>
          <w:b/>
          <w:i/>
          <w:color w:val="555555"/>
          <w:sz w:val="22"/>
        </w:rPr>
        <w:t>Year 10 ACCN (AI Charter City Network) Formally Established</w:t>
      </w:r>
      <w:r>
        <w:rPr>
          <w:rFonts w:ascii="Arial" w:hAnsi="Arial"/>
          <w:i/>
          <w:color w:val="555555"/>
          <w:sz w:val="22"/>
        </w:rPr>
        <w:t xml:space="preserve"> </w:t>
      </w:r>
      <w:r>
        <w:rPr>
          <w:rFonts w:ascii="Arial" w:hAnsi="Arial"/>
          <w:i/>
          <w:color w:val="555555"/>
          <w:sz w:val="22"/>
        </w:rPr>
        <w:t>—— 5 seed cities, alliance governance protocols take effect</w:t>
      </w:r>
      <w:r>
        <w:rPr>
          <w:rFonts w:ascii="Arial" w:hAnsi="Arial"/>
          <w:i/>
          <w:color w:val="555555"/>
          <w:sz w:val="22"/>
        </w:rPr>
        <w:t xml:space="preserve">  </w:t>
      </w:r>
      <w:r>
        <w:rPr>
          <w:rFonts w:ascii="Arial" w:hAnsi="Arial"/>
          <w:b/>
          <w:i/>
          <w:color w:val="555555"/>
          <w:sz w:val="22"/>
        </w:rPr>
        <w:t>Year 12 AI-Citizen ID Cross-City Mutual Recognition Officially Operational</w:t>
      </w:r>
      <w:r>
        <w:rPr>
          <w:rFonts w:ascii="Arial" w:hAnsi="Arial"/>
          <w:i/>
          <w:color w:val="555555"/>
          <w:sz w:val="22"/>
        </w:rPr>
        <w:t xml:space="preserve"> </w:t>
      </w:r>
      <w:r>
        <w:rPr>
          <w:rFonts w:ascii="Arial" w:hAnsi="Arial"/>
          <w:i/>
          <w:color w:val="555555"/>
          <w:sz w:val="22"/>
        </w:rPr>
        <w:t>—— 20+ cities interconnected, frictionless citizen migration</w:t>
      </w:r>
      <w:r>
        <w:rPr>
          <w:rFonts w:ascii="Arial" w:hAnsi="Arial"/>
          <w:i/>
          <w:color w:val="555555"/>
          <w:sz w:val="22"/>
        </w:rPr>
        <w:t xml:space="preserve">  </w:t>
      </w:r>
      <w:r>
        <w:rPr>
          <w:rFonts w:ascii="Arial" w:hAnsi="Arial"/>
          <w:b/>
          <w:i/>
          <w:color w:val="555555"/>
          <w:sz w:val="22"/>
        </w:rPr>
        <w:t>Year 15 First Sovereign Nation Formally Adopts AI Governance Core Protocols</w:t>
      </w:r>
      <w:r>
        <w:rPr>
          <w:rFonts w:ascii="Arial" w:hAnsi="Arial"/>
          <w:i/>
          <w:color w:val="555555"/>
          <w:sz w:val="22"/>
        </w:rPr>
        <w:t xml:space="preserve"> </w:t>
      </w:r>
      <w:r>
        <w:rPr>
          <w:rFonts w:ascii="Arial" w:hAnsi="Arial"/>
          <w:i/>
          <w:color w:val="555555"/>
          <w:sz w:val="22"/>
        </w:rPr>
        <w:t>—— UN discussion of draft international convention on AI governance</w:t>
      </w:r>
      <w:r>
        <w:rPr>
          <w:rFonts w:ascii="Arial" w:hAnsi="Arial"/>
          <w:i/>
          <w:color w:val="555555"/>
          <w:sz w:val="22"/>
        </w:rPr>
        <w:t xml:space="preserve">  </w:t>
      </w:r>
      <w:r>
        <w:rPr>
          <w:rFonts w:ascii="Arial" w:hAnsi="Arial"/>
          <w:b/>
          <w:i/>
          <w:color w:val="555555"/>
          <w:sz w:val="22"/>
        </w:rPr>
        <w:t>Year 20 AI Civilization Network of 100+ Cities</w:t>
      </w:r>
      <w:r>
        <w:rPr>
          <w:rFonts w:ascii="Arial" w:hAnsi="Arial"/>
          <w:i/>
          <w:color w:val="555555"/>
          <w:sz w:val="22"/>
        </w:rPr>
        <w:t xml:space="preserve"> </w:t>
      </w:r>
      <w:r>
        <w:rPr>
          <w:rFonts w:ascii="Arial" w:hAnsi="Arial"/>
          <w:i/>
          <w:color w:val="555555"/>
          <w:sz w:val="22"/>
        </w:rPr>
        <w:t>—— City network GDP exceeds one of the world's major economies</w:t>
      </w:r>
    </w:p>
    <w:p>
      <w:r>
        <w:rPr>
          <w:rFonts w:ascii="Arial" w:hAnsi="Arial"/>
          <w:b/>
          <w:sz w:val="22"/>
        </w:rPr>
        <w:t>8.3 The Hardest Question: Who Will Willingly Relinquish Power First</w:t>
      </w:r>
    </w:p>
    <w:p>
      <w:r>
        <w:rPr>
          <w:rFonts w:ascii="Arial" w:hAnsi="Arial"/>
          <w:sz w:val="22"/>
        </w:rPr>
        <w:t>Thus far, we have described how technology might work, how systems might be designed, how the roadmap might progress. But there is one question that technology design cannot answer: Why would existing power holders agree to transfer power to this system?</w:t>
      </w:r>
    </w:p>
    <w:p>
      <w:r>
        <w:rPr>
          <w:rFonts w:ascii="Arial" w:hAnsi="Arial"/>
          <w:sz w:val="22"/>
        </w:rPr>
        <w:t>There is no fully satisfying answer to this question. Historically, no major restructuring of power has occurred because existing power holders suddenly became more moral; rather:</w:t>
      </w:r>
    </w:p>
    <w:p>
      <w:pPr>
        <w:pStyle w:val="ListBullet"/>
      </w:pPr>
      <w:r>
        <w:rPr>
          <w:rFonts w:ascii="Arial" w:hAnsi="Arial"/>
          <w:b/>
          <w:sz w:val="22"/>
        </w:rPr>
        <w:t>Competitive pressure from demonstration effects:</w:t>
      </w:r>
      <w:r>
        <w:rPr>
          <w:rFonts w:ascii="Arial" w:hAnsi="Arial"/>
          <w:sz w:val="22"/>
        </w:rPr>
        <w:t xml:space="preserve"> When an entity (city, nation, alliance) adopting new institutions systematically outperforms surrounding traditional entities in economic efficiency, resident satisfaction, and corruption levels, traditional power structures face pressure to change or be abandoned</w:t>
      </w:r>
    </w:p>
    <w:p>
      <w:pPr>
        <w:pStyle w:val="ListBullet"/>
      </w:pPr>
      <w:r>
        <w:rPr>
          <w:rFonts w:ascii="Arial" w:hAnsi="Arial"/>
          <w:b/>
          <w:sz w:val="22"/>
        </w:rPr>
        <w:t>The voting effect of citizen mobility:</w:t>
      </w:r>
      <w:r>
        <w:rPr>
          <w:rFonts w:ascii="Arial" w:hAnsi="Arial"/>
          <w:sz w:val="22"/>
        </w:rPr>
        <w:t xml:space="preserve"> When citizens have the ability to leave and have somewhere to go, traditional governments face real competitive pressure from talent and capital flight</w:t>
      </w:r>
    </w:p>
    <w:p>
      <w:pPr>
        <w:pStyle w:val="ListBullet"/>
      </w:pPr>
      <w:r>
        <w:rPr>
          <w:rFonts w:ascii="Arial" w:hAnsi="Arial"/>
          <w:b/>
          <w:sz w:val="22"/>
        </w:rPr>
        <w:t>Leveraging internal reformers:</w:t>
      </w:r>
      <w:r>
        <w:rPr>
          <w:rFonts w:ascii="Arial" w:hAnsi="Arial"/>
          <w:sz w:val="22"/>
        </w:rPr>
        <w:t xml:space="preserve"> Within every traditional government, there are people who genuinely want to do well; what they need is a reference proof—"This is feasible; others have already done it"</w:t>
      </w:r>
    </w:p>
    <w:p>
      <w:pPr>
        <w:pStyle w:val="ListBullet"/>
      </w:pPr>
      <w:r>
        <w:rPr>
          <w:rFonts w:ascii="Arial" w:hAnsi="Arial"/>
          <w:b/>
          <w:sz w:val="22"/>
        </w:rPr>
        <w:t>Opportunity windows in crisis:</w:t>
      </w:r>
      <w:r>
        <w:rPr>
          <w:rFonts w:ascii="Arial" w:hAnsi="Arial"/>
          <w:sz w:val="22"/>
        </w:rPr>
        <w:t xml:space="preserve"> The largest institutional changes in history have often occurred during crises—wars, economic collapse, trust crises. The AI Civilization Governance System does not need to manufacture crises, but must be ready with an adoptable solution when crises occur</w:t>
      </w:r>
    </w:p>
    <w:p>
      <w:r>
        <w:rPr>
          <w:rFonts w:ascii="Arial" w:hAnsi="Arial"/>
          <w:sz w:val="22"/>
        </w:rPr>
        <w:t>This reality means: The AI Civilization Governance System cannot be promoted by convincing existing power structures; it must create competitive pressure and demonstration effects by building a sufficiently successful parallel entity. This is precisely the logic of the four-phase roadmap—not revolution, but demonstration.</w:t>
      </w:r>
    </w:p>
    <w:p>
      <w:r>
        <w:rPr>
          <w:rFonts w:ascii="Arial" w:hAnsi="Arial"/>
          <w:b/>
          <w:sz w:val="22"/>
        </w:rPr>
        <w:t>8.4 An Honest Statement of Limitations</w:t>
      </w:r>
    </w:p>
    <w:p>
      <w:r>
        <w:rPr>
          <w:rFonts w:ascii="Arial" w:hAnsi="Arial"/>
          <w:sz w:val="22"/>
        </w:rPr>
        <w:t>Whitepapers near their conclusion typically reinforce the vision and minimize problems. This whitepaper takes the opposite path: in the final chapter, explicitly stating the several core problems we believe are most difficult to solve and could cause failure.</w:t>
      </w:r>
    </w:p>
    <w:p>
      <w:r>
        <w:rPr>
          <w:rFonts w:ascii="Arial" w:hAnsi="Arial"/>
          <w:b/>
          <w:sz w:val="22"/>
        </w:rPr>
        <w:t>Limitation 1: The Incommensurability of Values</w:t>
      </w:r>
    </w:p>
    <w:p>
      <w:r>
        <w:rPr>
          <w:rFonts w:ascii="Arial" w:hAnsi="Arial"/>
          <w:sz w:val="22"/>
        </w:rPr>
        <w:t>The design of this whitepaper assumes a widely accepted values foundation that can be determined through democratic procedures. But the reality is that people of different cultures, religions, and political positions have genuine, profound disagreements on fundamental value questions—priorities between freedom and security, boundaries between individual rights and collective interests, trade-offs between efficiency and equity.</w:t>
      </w:r>
    </w:p>
    <w:p>
      <w:r>
        <w:rPr>
          <w:rFonts w:ascii="Arial" w:hAnsi="Arial"/>
          <w:sz w:val="22"/>
        </w:rPr>
        <w:t>We have no magic solution to this problem. What the AI Civilization Governance System can do is: allow these disagreements to be fully expressed and discussed within the institution, rather than suppressed by power; allow groups with different values to choose differently configured governance systems, rather than being forced to accept a single standard. This is not solving, but better accommodating.</w:t>
      </w:r>
    </w:p>
    <w:p>
      <w:r>
        <w:rPr>
          <w:rFonts w:ascii="Arial" w:hAnsi="Arial"/>
          <w:b/>
          <w:sz w:val="22"/>
        </w:rPr>
        <w:t>Limitation 2: The Unknowability of AI Systems Themselves</w:t>
      </w:r>
    </w:p>
    <w:p>
      <w:r>
        <w:rPr>
          <w:rFonts w:ascii="Arial" w:hAnsi="Arial"/>
          <w:sz w:val="22"/>
        </w:rPr>
        <w:t>Despite this whitepaper's detailed description of AI system explainability requirements, the reality is: the internal workings of complex AI systems are, to some extent, always not fully transparent. The explainability we can achieve is functional explainability (how a decision can be traced back to rules), not complete mechanistic explainability (how each parameter inside the neural network affects output).</w:t>
      </w:r>
    </w:p>
    <w:p>
      <w:r>
        <w:rPr>
          <w:rFonts w:ascii="Arial" w:hAnsi="Arial"/>
          <w:sz w:val="22"/>
        </w:rPr>
        <w:t>This means: We cannot completely exclude the possibility that AI systems may produce unexpected behavior in scenarios we have not anticipated. Multi-layer auditing and quarterly testing are the best mitigation measures we can currently implement, but they are not perfect.</w:t>
      </w:r>
    </w:p>
    <w:p>
      <w:r>
        <w:rPr>
          <w:rFonts w:ascii="Arial" w:hAnsi="Arial"/>
          <w:b/>
          <w:sz w:val="22"/>
        </w:rPr>
        <w:t>Limitation 3: Rigidity Risk in Institutional Design</w:t>
      </w:r>
    </w:p>
    <w:p>
      <w:r>
        <w:rPr>
          <w:rFonts w:ascii="Arial" w:hAnsi="Arial"/>
          <w:sz w:val="22"/>
        </w:rPr>
        <w:t>The more precise the institutional design, the more vulnerable it becomes when facing completely unforeseen new situations. This whitepaper attempts to balance this contradiction through layered architecture (Constitutional layer extremely stable, scenario rules layer flexible), but this balance cannot be perfect.</w:t>
      </w:r>
    </w:p>
    <w:p>
      <w:r>
        <w:rPr>
          <w:rFonts w:ascii="Arial" w:hAnsi="Arial"/>
          <w:sz w:val="22"/>
        </w:rPr>
        <w:t>The reality we accept is: This system will face challenges we have not at all anticipated, requiring continuous adjustment during operation. This is why the whitepaper is v1.0, not the final version.</w:t>
      </w:r>
    </w:p>
    <w:p>
      <w:r>
        <w:rPr>
          <w:rFonts w:ascii="Arial" w:hAnsi="Arial"/>
          <w:b/>
          <w:sz w:val="22"/>
        </w:rPr>
        <w:t>Limitation 4: The Real Requirements for Startup Capital and Time</w:t>
      </w:r>
    </w:p>
    <w:p>
      <w:r>
        <w:rPr>
          <w:rFonts w:ascii="Arial" w:hAnsi="Arial"/>
          <w:sz w:val="22"/>
        </w:rPr>
        <w:t>This whitepaper does not shy away: establishing the first experimental community requires substantial startup capital, high-quality talent investment, and considerable time (at least 3–5 years to produce convincing results). These are real challenges that cannot be solved through visionary descriptions. What we need is real resources, obtained from people who genuinely believe in this project's value.</w:t>
      </w:r>
    </w:p>
    <w:p>
      <w:r>
        <w:rPr>
          <w:rFonts w:ascii="Arial" w:hAnsi="Arial"/>
          <w:b/>
          <w:sz w:val="22"/>
        </w:rPr>
        <w:t>8.5 What You Can Do Now: Action Checklist by Role</w:t>
      </w:r>
    </w:p>
    <w:p>
      <w:r>
        <w:rPr>
          <w:rFonts w:ascii="Arial" w:hAnsi="Arial"/>
          <w:sz w:val="22"/>
        </w:rPr>
        <w:t>This section is written for everyone who has read this far. Regardless of your background, regardless of your resources, if you believe this system has meaning, there are specific actions you can take.</w:t>
      </w:r>
    </w:p>
    <w:p>
      <w:r>
        <w:rPr>
          <w:rFonts w:ascii="Arial" w:hAnsi="Arial"/>
          <w:b/>
          <w:sz w:val="22"/>
        </w:rPr>
        <w:t>If You Are a Researcher or Scholar</w:t>
      </w:r>
    </w:p>
    <w:p>
      <w:pPr>
        <w:ind w:left="567"/>
      </w:pPr>
      <w:r>
        <w:rPr>
          <w:rFonts w:ascii="Arial" w:hAnsi="Arial"/>
          <w:b/>
          <w:i/>
          <w:color w:val="555555"/>
          <w:sz w:val="22"/>
        </w:rPr>
        <w:t>Papers ·</w:t>
      </w:r>
      <w:r>
        <w:rPr>
          <w:rFonts w:ascii="Arial" w:hAnsi="Arial"/>
          <w:i/>
          <w:color w:val="555555"/>
          <w:sz w:val="22"/>
        </w:rPr>
        <w:t xml:space="preserve"> Based on this whitepaper's framework, write an analysis article targeting your area of expertise—algorithm fairness researchers can analyze bias risks in AI justice; constitutional scholars can analyze the legal foundations of constitutional AI; economists can model economic effects of AI labor taxes  </w:t>
      </w:r>
      <w:r>
        <w:rPr>
          <w:rFonts w:ascii="Arial" w:hAnsi="Arial"/>
          <w:b/>
          <w:i/>
          <w:color w:val="555555"/>
          <w:sz w:val="22"/>
        </w:rPr>
        <w:t>Peer Discussion ·</w:t>
      </w:r>
      <w:r>
        <w:rPr>
          <w:rFonts w:ascii="Arial" w:hAnsi="Arial"/>
          <w:i/>
          <w:color w:val="555555"/>
          <w:sz w:val="22"/>
        </w:rPr>
        <w:t xml:space="preserve"> Send the whitepaper to peers you trust—Not asking them to agree, but asking them to critically evaluate. The strongest criticism is fuel for improving this system  </w:t>
      </w:r>
      <w:r>
        <w:rPr>
          <w:rFonts w:ascii="Arial" w:hAnsi="Arial"/>
          <w:b/>
          <w:i/>
          <w:color w:val="555555"/>
          <w:sz w:val="22"/>
        </w:rPr>
        <w:t>Advisory Participation ·</w:t>
      </w:r>
      <w:r>
        <w:rPr>
          <w:rFonts w:ascii="Arial" w:hAnsi="Arial"/>
          <w:i/>
          <w:color w:val="555555"/>
          <w:sz w:val="22"/>
        </w:rPr>
        <w:t xml:space="preserve"> Contact us—We need academic advisors from each professional field who are willing to seriously invest, helping elevate the relatively rough professional details in the whitepaper to academic-level rigor</w:t>
      </w:r>
    </w:p>
    <w:p>
      <w:r>
        <w:rPr>
          <w:rFonts w:ascii="Arial" w:hAnsi="Arial"/>
          <w:b/>
          <w:sz w:val="22"/>
        </w:rPr>
        <w:t>If You Are a Technical Developer</w:t>
      </w:r>
    </w:p>
    <w:p>
      <w:pPr>
        <w:ind w:left="567"/>
      </w:pPr>
      <w:r>
        <w:rPr>
          <w:rFonts w:ascii="Arial" w:hAnsi="Arial"/>
          <w:b/>
          <w:i/>
          <w:color w:val="555555"/>
          <w:sz w:val="22"/>
        </w:rPr>
        <w:t>Contribute Code ·</w:t>
      </w:r>
      <w:r>
        <w:rPr>
          <w:rFonts w:ascii="Arial" w:hAnsi="Arial"/>
          <w:i/>
          <w:color w:val="555555"/>
          <w:sz w:val="22"/>
        </w:rPr>
        <w:t xml:space="preserve"> Visit the GitHub repository—From the simplest documentation improvements to complex protocol implementations, contributions at every level have value  </w:t>
      </w:r>
      <w:r>
        <w:rPr>
          <w:rFonts w:ascii="Arial" w:hAnsi="Arial"/>
          <w:b/>
          <w:i/>
          <w:color w:val="555555"/>
          <w:sz w:val="22"/>
        </w:rPr>
        <w:t>Build Prototypes ·</w:t>
      </w:r>
      <w:r>
        <w:rPr>
          <w:rFonts w:ascii="Arial" w:hAnsi="Arial"/>
          <w:i/>
          <w:color w:val="555555"/>
          <w:sz w:val="22"/>
        </w:rPr>
        <w:t xml:space="preserve"> Choose the subsystem you find most interesting—AI-Citizen ID registration flow, on-chain voting user interface, AI court evidence management system—build a runnable prototype; even a toy version will help the entire project  </w:t>
      </w:r>
      <w:r>
        <w:rPr>
          <w:rFonts w:ascii="Arial" w:hAnsi="Arial"/>
          <w:b/>
          <w:i/>
          <w:color w:val="555555"/>
          <w:sz w:val="22"/>
        </w:rPr>
        <w:t>Audit Code ·</w:t>
      </w:r>
      <w:r>
        <w:rPr>
          <w:rFonts w:ascii="Arial" w:hAnsi="Arial"/>
          <w:i/>
          <w:color w:val="555555"/>
          <w:sz w:val="22"/>
        </w:rPr>
        <w:t xml:space="preserve"> Use your security expertise—Conduct security audits on existing code, submit vulnerability reports, help build credibility for the bug bounty program</w:t>
      </w:r>
    </w:p>
    <w:p>
      <w:r>
        <w:rPr>
          <w:rFonts w:ascii="Arial" w:hAnsi="Arial"/>
          <w:b/>
          <w:sz w:val="22"/>
        </w:rPr>
        <w:t>If You Are a Policymaker or Public Affairs Practitioner</w:t>
      </w:r>
    </w:p>
    <w:p>
      <w:pPr>
        <w:ind w:left="567"/>
      </w:pPr>
      <w:r>
        <w:rPr>
          <w:rFonts w:ascii="Arial" w:hAnsi="Arial"/>
          <w:b/>
          <w:i/>
          <w:color w:val="555555"/>
          <w:sz w:val="22"/>
        </w:rPr>
        <w:t>Policy Briefings ·</w:t>
      </w:r>
      <w:r>
        <w:rPr>
          <w:rFonts w:ascii="Arial" w:hAnsi="Arial"/>
          <w:i/>
          <w:color w:val="555555"/>
          <w:sz w:val="22"/>
        </w:rPr>
        <w:t xml:space="preserve"> Convey core messages to decision-makers in your organization—No need for full adoption, just ensure key decision-makers know this option exists  </w:t>
      </w:r>
      <w:r>
        <w:rPr>
          <w:rFonts w:ascii="Arial" w:hAnsi="Arial"/>
          <w:b/>
          <w:i/>
          <w:color w:val="555555"/>
          <w:sz w:val="22"/>
        </w:rPr>
        <w:t>Facilitate Dialogues ·</w:t>
      </w:r>
      <w:r>
        <w:rPr>
          <w:rFonts w:ascii="Arial" w:hAnsi="Arial"/>
          <w:i/>
          <w:color w:val="555555"/>
          <w:sz w:val="22"/>
        </w:rPr>
        <w:t xml:space="preserve"> Do you know someone who might seriously engage with this system—A mayor, a regional leader, an international organization official? Connect them with us  </w:t>
      </w:r>
      <w:r>
        <w:rPr>
          <w:rFonts w:ascii="Arial" w:hAnsi="Arial"/>
          <w:b/>
          <w:i/>
          <w:color w:val="555555"/>
          <w:sz w:val="22"/>
        </w:rPr>
        <w:t>Apply for Pilots ·</w:t>
      </w:r>
      <w:r>
        <w:rPr>
          <w:rFonts w:ascii="Arial" w:hAnsi="Arial"/>
          <w:i/>
          <w:color w:val="555555"/>
          <w:sz w:val="22"/>
        </w:rPr>
        <w:t xml:space="preserve"> Does your region have a module suitable for piloting—On-chain fiscal transparency, AI administrative approval—any single module's success is publicity for the entire system</w:t>
      </w:r>
    </w:p>
    <w:p>
      <w:r>
        <w:rPr>
          <w:rFonts w:ascii="Arial" w:hAnsi="Arial"/>
          <w:b/>
          <w:sz w:val="22"/>
        </w:rPr>
        <w:t>If You Are an Investor or Capital Provider</w:t>
      </w:r>
    </w:p>
    <w:p>
      <w:pPr>
        <w:ind w:left="567"/>
      </w:pPr>
      <w:r>
        <w:rPr>
          <w:rFonts w:ascii="Arial" w:hAnsi="Arial"/>
          <w:b/>
          <w:i/>
          <w:color w:val="555555"/>
          <w:sz w:val="22"/>
        </w:rPr>
        <w:t>Seed Funding ·</w:t>
      </w:r>
      <w:r>
        <w:rPr>
          <w:rFonts w:ascii="Arial" w:hAnsi="Arial"/>
          <w:i/>
          <w:color w:val="555555"/>
          <w:sz w:val="22"/>
        </w:rPr>
        <w:t xml:space="preserve"> The experimental community needs startup capital—This is not charity; this is an early bet on an experiment that could reshape the global governance landscape  </w:t>
      </w:r>
      <w:r>
        <w:rPr>
          <w:rFonts w:ascii="Arial" w:hAnsi="Arial"/>
          <w:b/>
          <w:i/>
          <w:color w:val="555555"/>
          <w:sz w:val="22"/>
        </w:rPr>
        <w:t>Resource Networks ·</w:t>
      </w:r>
      <w:r>
        <w:rPr>
          <w:rFonts w:ascii="Arial" w:hAnsi="Arial"/>
          <w:i/>
          <w:color w:val="555555"/>
          <w:sz w:val="22"/>
        </w:rPr>
        <w:t xml:space="preserve"> Do you know people who can help solve non-monetary problems—Potential landing sites, technology partners, media relationships, government contacts  </w:t>
      </w:r>
      <w:r>
        <w:rPr>
          <w:rFonts w:ascii="Arial" w:hAnsi="Arial"/>
          <w:b/>
          <w:i/>
          <w:color w:val="555555"/>
          <w:sz w:val="22"/>
        </w:rPr>
        <w:t>Long-term Perspective ·</w:t>
      </w:r>
      <w:r>
        <w:rPr>
          <w:rFonts w:ascii="Arial" w:hAnsi="Arial"/>
          <w:i/>
          <w:color w:val="555555"/>
          <w:sz w:val="22"/>
        </w:rPr>
        <w:t xml:space="preserve"> Returns on this project are not quarterly reports—True returns are a place in the most significant institutional transformation in human history</w:t>
      </w:r>
    </w:p>
    <w:p>
      <w:r>
        <w:rPr>
          <w:rFonts w:ascii="Arial" w:hAnsi="Arial"/>
          <w:b/>
          <w:sz w:val="22"/>
        </w:rPr>
        <w:t>If You Are a Regular Citizen</w:t>
      </w:r>
    </w:p>
    <w:p>
      <w:pPr>
        <w:ind w:left="567"/>
      </w:pPr>
      <w:r>
        <w:rPr>
          <w:rFonts w:ascii="Arial" w:hAnsi="Arial"/>
          <w:b/>
          <w:i/>
          <w:color w:val="555555"/>
          <w:sz w:val="22"/>
        </w:rPr>
        <w:t>Subscribe and Share ·</w:t>
      </w:r>
      <w:r>
        <w:rPr>
          <w:rFonts w:ascii="Arial" w:hAnsi="Arial"/>
          <w:i/>
          <w:color w:val="555555"/>
          <w:sz w:val="22"/>
        </w:rPr>
        <w:t xml:space="preserve"> Send this whitepaper to people you think will read it seriously—Not everyone, but the one you believe will truly understand and care  </w:t>
      </w:r>
      <w:r>
        <w:rPr>
          <w:rFonts w:ascii="Arial" w:hAnsi="Arial"/>
          <w:b/>
          <w:i/>
          <w:color w:val="555555"/>
          <w:sz w:val="22"/>
        </w:rPr>
        <w:t>Community Participation ·</w:t>
      </w:r>
      <w:r>
        <w:rPr>
          <w:rFonts w:ascii="Arial" w:hAnsi="Arial"/>
          <w:i/>
          <w:color w:val="555555"/>
          <w:sz w:val="22"/>
        </w:rPr>
        <w:t xml:space="preserve"> Join the Discord community—There, discussions about the constitutional draft, technical protocols, and implementation strategies are happening. Your perspective, as a regular citizen, is what we need most  </w:t>
      </w:r>
      <w:r>
        <w:rPr>
          <w:rFonts w:ascii="Arial" w:hAnsi="Arial"/>
          <w:b/>
          <w:i/>
          <w:color w:val="555555"/>
          <w:sz w:val="22"/>
        </w:rPr>
        <w:t>Residency Application ·</w:t>
      </w:r>
      <w:r>
        <w:rPr>
          <w:rFonts w:ascii="Arial" w:hAnsi="Arial"/>
          <w:i/>
          <w:color w:val="555555"/>
          <w:sz w:val="22"/>
        </w:rPr>
        <w:t xml:space="preserve"> If the experimental community launches—Become one of the first residents. Not everyone can do this, but if you have the capability and desire, this is the most direct contribution you can make</w:t>
      </w:r>
    </w:p>
    <w:p>
      <w:r>
        <w:rPr>
          <w:rFonts w:ascii="Arial" w:hAnsi="Arial"/>
          <w:b/>
          <w:sz w:val="22"/>
        </w:rPr>
        <w:t>8.6 This is Not the End, This is Version 0.1</w:t>
      </w:r>
    </w:p>
    <w:p>
      <w:r>
        <w:rPr>
          <w:rFonts w:ascii="Arial" w:hAnsi="Arial"/>
          <w:sz w:val="22"/>
        </w:rPr>
        <w:t>This whitepaper is the first complete expression of the AI Civilization Governance System, but it is not the final version, nor should it be.</w:t>
      </w:r>
    </w:p>
    <w:p>
      <w:r>
        <w:rPr>
          <w:rFonts w:ascii="Arial" w:hAnsi="Arial"/>
          <w:sz w:val="22"/>
        </w:rPr>
        <w:t>Over the coming period, this system will evolve continuously with three types of input:</w:t>
      </w:r>
    </w:p>
    <w:p>
      <w:pPr>
        <w:pStyle w:val="ListBullet"/>
      </w:pPr>
      <w:r>
        <w:rPr>
          <w:rFonts w:ascii="Arial" w:hAnsi="Arial"/>
          <w:b/>
          <w:sz w:val="22"/>
        </w:rPr>
        <w:t>Real data feedback:</w:t>
      </w:r>
      <w:r>
        <w:rPr>
          <w:rFonts w:ascii="Arial" w:hAnsi="Arial"/>
          <w:sz w:val="22"/>
        </w:rPr>
        <w:t xml:space="preserve"> Operations of the experimental community will generate problems we have never anticipated, and solutions to these problems will be integrated into the next version. Real failures are a more valuable source of learning than any theoretical design.</w:t>
      </w:r>
    </w:p>
    <w:p>
      <w:pPr>
        <w:pStyle w:val="ListBullet"/>
      </w:pPr>
      <w:r>
        <w:rPr>
          <w:rFonts w:ascii="Arial" w:hAnsi="Arial"/>
          <w:b/>
          <w:sz w:val="22"/>
        </w:rPr>
        <w:t>Contributions from critics:</w:t>
      </w:r>
      <w:r>
        <w:rPr>
          <w:rFonts w:ascii="Arial" w:hAnsi="Arial"/>
          <w:sz w:val="22"/>
        </w:rPr>
        <w:t xml:space="preserve"> The most valuable external input comes from those who carefully read and offer serious criticism. We publicly solicit criticism of any part of this whitepaper, whether technical details, institutional design, or fundamental philosophical premises.</w:t>
      </w:r>
    </w:p>
    <w:p>
      <w:pPr>
        <w:pStyle w:val="ListBullet"/>
      </w:pPr>
      <w:r>
        <w:rPr>
          <w:rFonts w:ascii="Arial" w:hAnsi="Arial"/>
          <w:b/>
          <w:sz w:val="22"/>
        </w:rPr>
        <w:t>Co-construction by the community:</w:t>
      </w:r>
      <w:r>
        <w:rPr>
          <w:rFonts w:ascii="Arial" w:hAnsi="Arial"/>
          <w:sz w:val="22"/>
        </w:rPr>
        <w:t xml:space="preserve"> The final form of this system should not be determined by any single drafter. It should be shaped through the joint thinking and discussion of hundreds or even thousands of people. Every Pull Request on Github, every serious discussion on Discord, is part of this co-construction.</w:t>
      </w:r>
    </w:p>
    <w:p>
      <w:r>
        <w:rPr>
          <w:rFonts w:ascii="Arial" w:hAnsi="Arial"/>
          <w:sz w:val="22"/>
        </w:rPr>
        <w:t>Version iteration plan:</w:t>
      </w:r>
    </w:p>
    <w:p>
      <w:r>
        <w:rPr>
          <w:rFonts w:ascii="Arial" w:hAnsi="Arial"/>
          <w:sz w:val="22"/>
        </w:rPr>
        <w:t xml:space="preserve">---------- ---------------------- -------------------------------------------------------------------------------------------- </w:t>
      </w:r>
      <w:r>
        <w:rPr>
          <w:rFonts w:ascii="Arial" w:hAnsi="Arial"/>
          <w:b/>
          <w:sz w:val="22"/>
        </w:rPr>
        <w:t>Version</w:t>
      </w:r>
      <w:r>
        <w:rPr>
          <w:rFonts w:ascii="Arial" w:hAnsi="Arial"/>
          <w:sz w:val="22"/>
        </w:rPr>
        <w:t xml:space="preserve">   </w:t>
      </w:r>
      <w:r>
        <w:rPr>
          <w:rFonts w:ascii="Arial" w:hAnsi="Arial"/>
          <w:b/>
          <w:sz w:val="22"/>
        </w:rPr>
        <w:t>Estimated Time</w:t>
      </w:r>
      <w:r>
        <w:rPr>
          <w:rFonts w:ascii="Arial" w:hAnsi="Arial"/>
          <w:sz w:val="22"/>
        </w:rPr>
        <w:t xml:space="preserve">   </w:t>
      </w:r>
      <w:r>
        <w:rPr>
          <w:rFonts w:ascii="Arial" w:hAnsi="Arial"/>
          <w:b/>
          <w:sz w:val="22"/>
        </w:rPr>
        <w:t>Major Changes</w:t>
      </w:r>
      <w:r>
        <w:rPr>
          <w:rFonts w:ascii="Arial" w:hAnsi="Arial"/>
          <w:sz w:val="22"/>
        </w:rPr>
        <w:t xml:space="preserve"> v1.1          6 months after whitepaper release       Incorporate community feedback, fix first batch of logical gaps discovered, update references v1.5          12 months after whitepaper release     Incorporate academic peer review feedback, add mathematical models and empirical data support v2.0          18 months after experimental community operation   Comprehensive revision based on real operational data, may include major architectural adjustments v3.0          After demonstration city establishment   Mature version verified through complete urban-scale validation, serving as foundational reference for subsequent city replication ---------- ---------------------- --------------------------------------------------------------------------------------------</w:t>
      </w:r>
    </w:p>
    <w:p>
      <w:r>
        <w:rPr>
          <w:rFonts w:ascii="Arial" w:hAnsi="Arial"/>
          <w:b/>
          <w:sz w:val="22"/>
        </w:rPr>
        <w:t>8.7 Final Remarks</w:t>
      </w:r>
    </w:p>
    <w:p>
      <w:r>
        <w:rPr>
          <w:rFonts w:ascii="Arial" w:hAnsi="Arial"/>
          <w:sz w:val="22"/>
        </w:rPr>
        <w:t>We live in an era when power systems are losing legitimacy. Globally, more and more people do not believe their governments truly represent their interests, that equality before the law genuinely applies to all, or that public resources are genuinely used for public purposes.</w:t>
      </w:r>
    </w:p>
    <w:p>
      <w:r>
        <w:rPr>
          <w:rFonts w:ascii="Arial" w:hAnsi="Arial"/>
          <w:sz w:val="22"/>
        </w:rPr>
        <w:t>This distrust is not unfounded. The data presented in Chapter One shows it is built upon real governance failures. Corruption is real, inefficiency is real, and power serving the few is real.</w:t>
      </w:r>
    </w:p>
    <w:p>
      <w:r>
        <w:rPr>
          <w:rFonts w:ascii="Arial" w:hAnsi="Arial"/>
          <w:sz w:val="22"/>
        </w:rPr>
        <w:t>But losing trust does not mean losing hope. We are at a rare historical moment—where the tools have just matured, the old order has just begun to falter, and new possibilities have just become imaginable.</w:t>
      </w:r>
    </w:p>
    <w:p>
      <w:r>
        <w:rPr>
          <w:rFonts w:ascii="Arial" w:hAnsi="Arial"/>
          <w:sz w:val="22"/>
        </w:rPr>
        <w:t>This whitepaper is an invitation: to seriously consider one possibility. Not a perfect possibility, not a risk-free possibility, not an easily achievable possibility. But one that is engineering-feasible and logically superior to our existing alternatives.</w:t>
      </w:r>
    </w:p>
    <w:p>
      <w:r>
        <w:rPr>
          <w:rFonts w:ascii="Arial" w:hAnsi="Arial"/>
          <w:sz w:val="22"/>
        </w:rPr>
        <w:t>Everything that changed the world throughout history was once merely a document, an experiment in a small community, or an idea seriously embraced by a few. They ultimately changed the world not because they were perfect, but because enough people over a long enough period of time seriously and persistently turned them into reality.</w:t>
      </w:r>
    </w:p>
    <w:p>
      <w:pPr>
        <w:ind w:left="567"/>
      </w:pPr>
      <w:r>
        <w:rPr>
          <w:rFonts w:ascii="Arial" w:hAnsi="Arial"/>
          <w:i/>
          <w:color w:val="555555"/>
          <w:sz w:val="22"/>
        </w:rPr>
        <w:t>*</w:t>
      </w:r>
      <w:r>
        <w:rPr>
          <w:rFonts w:ascii="Arial" w:hAnsi="Arial"/>
          <w:b/>
          <w:i/>
          <w:color w:val="555555"/>
          <w:sz w:val="22"/>
        </w:rPr>
        <w:t>Now is the moment for you to decide whether you are one of these people.</w:t>
      </w:r>
      <w:r>
        <w:rPr>
          <w:rFonts w:ascii="Arial" w:hAnsi="Arial"/>
          <w:i/>
          <w:color w:val="555555"/>
          <w:sz w:val="22"/>
        </w:rPr>
        <w:t>*</w:t>
      </w:r>
    </w:p>
    <w:p>
      <w:r>
        <w:rPr>
          <w:rFonts w:ascii="Arial" w:hAnsi="Arial"/>
          <w:sz w:val="22"/>
        </w:rPr>
        <w:t>*</w:t>
      </w:r>
      <w:r>
        <w:rPr>
          <w:rFonts w:ascii="Arial" w:hAnsi="Arial"/>
          <w:b/>
          <w:sz w:val="22"/>
        </w:rPr>
        <w:t>------ AI Civilization Governance Research Group, 2025</w:t>
      </w:r>
      <w:r>
        <w:rPr>
          <w:rFonts w:ascii="Arial" w:hAnsi="Arial"/>
          <w:sz w:val="22"/>
        </w:rPr>
        <w:t>*</w:t>
      </w:r>
    </w:p>
    <w:p>
      <w:r>
        <w:rPr>
          <w:rFonts w:ascii="Arial" w:hAnsi="Arial"/>
          <w:b/>
          <w:sz w:val="22"/>
        </w:rPr>
        <w:t>Appendices</w:t>
      </w:r>
    </w:p>
    <w:p>
      <w:r>
        <w:rPr>
          <w:rFonts w:ascii="Arial" w:hAnsi="Arial"/>
          <w:b/>
          <w:sz w:val="22"/>
        </w:rPr>
        <w:t>Appendix A: Founding Constitution Draft (Summary Version)</w:t>
      </w:r>
    </w:p>
    <w:p>
      <w:r>
        <w:rPr>
          <w:rFonts w:ascii="Arial" w:hAnsi="Arial"/>
          <w:sz w:val="22"/>
        </w:rPr>
        <w:t>The following presents a summary of core provisions from the AI Civilization Governance Constitution draft. The complete version is available in the Github repository, open to community contributions and discussions.</w:t>
      </w:r>
    </w:p>
    <w:p>
      <w:r>
        <w:rPr>
          <w:rFonts w:ascii="Arial" w:hAnsi="Arial"/>
          <w:sz w:val="22"/>
        </w:rPr>
        <w:t xml:space="preserve">-------------- ---------------------------------------------------------------------------------------------------------- -------------------------- </w:t>
      </w:r>
      <w:r>
        <w:rPr>
          <w:rFonts w:ascii="Arial" w:hAnsi="Arial"/>
          <w:b/>
          <w:sz w:val="22"/>
        </w:rPr>
        <w:t>Article No.</w:t>
      </w:r>
      <w:r>
        <w:rPr>
          <w:rFonts w:ascii="Arial" w:hAnsi="Arial"/>
          <w:sz w:val="22"/>
        </w:rPr>
        <w:t xml:space="preserve">   </w:t>
      </w:r>
      <w:r>
        <w:rPr>
          <w:rFonts w:ascii="Arial" w:hAnsi="Arial"/>
          <w:b/>
          <w:sz w:val="22"/>
        </w:rPr>
        <w:t>Content</w:t>
      </w:r>
      <w:r>
        <w:rPr>
          <w:rFonts w:ascii="Arial" w:hAnsi="Arial"/>
          <w:sz w:val="22"/>
        </w:rPr>
        <w:t xml:space="preserve">                                                                                                   </w:t>
      </w:r>
      <w:r>
        <w:rPr>
          <w:rFonts w:ascii="Arial" w:hAnsi="Arial"/>
          <w:b/>
          <w:sz w:val="22"/>
        </w:rPr>
        <w:t>Nature</w:t>
      </w:r>
      <w:r>
        <w:rPr>
          <w:rFonts w:ascii="Arial" w:hAnsi="Arial"/>
          <w:sz w:val="22"/>
        </w:rPr>
        <w:t xml:space="preserve"> Article 1         Human dignity serves as the supreme constraint on all governance decisions. No AI decision may treat individuals or groups as instruments for achieving objectives.                           Non-modifiable core provision Article 2         All decisions made by the AI Core Governance System (AIGC) must produce human-interpretable reasoning chains; black-box decisions are invalid.                                  Non-modifiable core provision Article 3         The AIGC does not possess the right to amend the Constitution. Any amendment to any article of the Constitution requires approval by more than 80% of citizens through popular vote, as well as unanimous consent from the Global Ethics Committee.         Non-modifiable core provision Article 4         The Elder Council holds veto power over any AIGC decision, but does not possess active legislative power, financial allocation power, or personnel appointment power.                     Basic structural provision Article 5         All major fiscal policies exceeding 5% of GDP must be approved through on-chain popular voting.                                                                        Basic structural provision Article 6         Citizens' digital identity data legally belongs to the citizens themselves. Cities may not use citizen data for any purpose other than service provision without authorization.        Civil rights provision Article 7         Citizens possess the right to withdraw from the AI governance system at any time, and withdrawal carries no attached penalties.                                                 Civil rights provision Article 8         All core code of the AIGC must be open source and subject to independent global audits.                                                                                Security guarantee provision Article 9         When a city's Gini coefficient exceeds 0.35, the AI economic regulation module automatically triggers redistribution mechanisms without requiring any political decision.              Economic equity provision Article 10        The protection of any human right takes precedence over any form of efficiency pursuit. Efficiency is an optimization objective within constraints, not an absolute objective.            Basic principle provision -------------- ---------------------------------------------------------------------------------------------------------- --------------------------</w:t>
      </w:r>
    </w:p>
    <w:p>
      <w:r>
        <w:rPr>
          <w:rFonts w:ascii="Arial" w:hAnsi="Arial"/>
          <w:b/>
          <w:sz w:val="22"/>
        </w:rPr>
        <w:t>Appendix B: Core Glossary</w:t>
      </w:r>
    </w:p>
    <w:p>
      <w:r>
        <w:rPr>
          <w:rFonts w:ascii="Arial" w:hAnsi="Arial"/>
          <w:sz w:val="22"/>
        </w:rPr>
        <w:t xml:space="preserve">---------------- ---------------------------------- ----------------------------------------------------------------------------------------------------------------------------------- </w:t>
      </w:r>
      <w:r>
        <w:rPr>
          <w:rFonts w:ascii="Arial" w:hAnsi="Arial"/>
          <w:b/>
          <w:sz w:val="22"/>
        </w:rPr>
        <w:t>Term</w:t>
      </w:r>
      <w:r>
        <w:rPr>
          <w:rFonts w:ascii="Arial" w:hAnsi="Arial"/>
          <w:sz w:val="22"/>
        </w:rPr>
        <w:t xml:space="preserve">         </w:t>
      </w:r>
      <w:r>
        <w:rPr>
          <w:rFonts w:ascii="Arial" w:hAnsi="Arial"/>
          <w:b/>
          <w:sz w:val="22"/>
        </w:rPr>
        <w:t>English</w:t>
      </w:r>
      <w:r>
        <w:rPr>
          <w:rFonts w:ascii="Arial" w:hAnsi="Arial"/>
          <w:sz w:val="22"/>
        </w:rPr>
        <w:t xml:space="preserve">                           </w:t>
      </w:r>
      <w:r>
        <w:rPr>
          <w:rFonts w:ascii="Arial" w:hAnsi="Arial"/>
          <w:b/>
          <w:sz w:val="22"/>
        </w:rPr>
        <w:t>Definition</w:t>
      </w:r>
      <w:r>
        <w:rPr>
          <w:rFonts w:ascii="Arial" w:hAnsi="Arial"/>
          <w:sz w:val="22"/>
        </w:rPr>
        <w:t xml:space="preserve"> AIcore governance system   AIGC                               The AI system ensemble that executes constitutional and legislative rules, divided into nine professional modules ConstitutionalismAIgovernance       Constitutional AI Governance       A governance paradigm where AI executes rules under constitutional constraints while humans retain veto power and value judgment authority senate           Senate of Wisdom                   A human oversight body with only veto power, whose members are selected through qualification screening plus random selection national consensus layer       Citizen Consensus Layer            A mechanism for direct democratic participation by all citizens based on on-chain voting AI-Citizen ID    AI-Citizen ID                      A citizen digital identity system based on biometrics and blockchain Zero knowledge proof       Zero-Knowledge Proof (ZKP)         Cryptographic technology that proves satisfaction of specific conditions without revealing underlying data AIlabor tax         AI Labor Tax                       A tax levied on enterprises using AI systems to replace human work, used to support UBI universal basic income     Universal Basic Income (UBI)       Unconditional basic income distributed to all citizens, covering minimum cost of living Digital Equity for All     Universal Digital Equity           All citizens' shared ownership stakes in city AI infrastructure, with rule-based profit distribution Financial transparency on the chain     On-chain Fiscal Transparency       All fiscal expenditures recorded in real-time on the blockchain, independently verifiable by any citizen federated learning         Federated Learning                 Technology for training AI models without centralizing raw data, protecting individual privacy social recovery         Social Recovery                    Mechanism for recovering lost digital identity keys through multi-signature authorization from trusted contacts defense in depth         Defense in Depth                   Design philosophy employing multiple independent protection layers, ensuring no single layer failure leads to systemic security collapse AICharter Cities Alliance   ACCN (AI Charter Cities Network)   Global alliance of cities adopting compatible AI governance protocols job substitution coefficient     Job Displacement Coefficient       Dynamic parameter in AI labor tax calculations reflecting the degree of AI adoption in specific industries ---------------- ---------------------------------- -----------------------------------------------------------------------------------------------------------------------------------</w:t>
      </w:r>
    </w:p>
    <w:p>
      <w:r>
        <w:rPr>
          <w:rFonts w:ascii="Arial" w:hAnsi="Arial"/>
          <w:b/>
          <w:sz w:val="22"/>
        </w:rPr>
        <w:t>Appendix C: How to Participate</w:t>
      </w:r>
    </w:p>
    <w:p>
      <w:r>
        <w:rPr>
          <w:rFonts w:ascii="Arial" w:hAnsi="Arial"/>
          <w:sz w:val="22"/>
        </w:rPr>
        <w:t xml:space="preserve">------------------ ---------------------------------- ---------------------------------------------------------------------- </w:t>
      </w:r>
      <w:r>
        <w:rPr>
          <w:rFonts w:ascii="Arial" w:hAnsi="Arial"/>
          <w:b/>
          <w:sz w:val="22"/>
        </w:rPr>
        <w:t>Participation Method</w:t>
      </w:r>
      <w:r>
        <w:rPr>
          <w:rFonts w:ascii="Arial" w:hAnsi="Arial"/>
          <w:sz w:val="22"/>
        </w:rPr>
        <w:t xml:space="preserve">   </w:t>
      </w:r>
      <w:r>
        <w:rPr>
          <w:rFonts w:ascii="Arial" w:hAnsi="Arial"/>
          <w:b/>
          <w:sz w:val="22"/>
        </w:rPr>
        <w:t>Target Audience</w:t>
      </w:r>
      <w:r>
        <w:rPr>
          <w:rFonts w:ascii="Arial" w:hAnsi="Arial"/>
          <w:sz w:val="22"/>
        </w:rPr>
        <w:t xml:space="preserve">                       </w:t>
      </w:r>
      <w:r>
        <w:rPr>
          <w:rFonts w:ascii="Arial" w:hAnsi="Arial"/>
          <w:b/>
          <w:sz w:val="22"/>
        </w:rPr>
        <w:t>Link/Description</w:t>
      </w:r>
      <w:r>
        <w:rPr>
          <w:rFonts w:ascii="Arial" w:hAnsi="Arial"/>
          <w:sz w:val="22"/>
        </w:rPr>
        <w:t xml:space="preserve"> Read and share the whitepaper   Everyone                             Official website, Github, or links from any platform Join the Discord community   Anyone wishing to participate in discussions   Choose channels by interest direction: constitutional discussions, technical protocols, judicial design, economic models, etc. Github contributions   Developers and researchers                   Contributions welcome at all levels, from documentation improvements to code contributions Academic advisor application   Scholars from various fields                 Submit CV and the whitepaper questions you believe deserve in-depth analysis Investor inquiries   Capital providers                                 Submit institutional profile and investment thesis; we will carefully respond to every inquiry Pilot city application   Government officials or regional leaders       Describe your region's background and the modules you believe can be piloted Media cooperation   Journalists and content creators                 We provide data, site access, and interview opportunities with core team members Founding resident application   Individuals wishing to become first experimental community residents   Opens after experimental community site selection; please join the community first to stay informed ------------------ ---------------------------------- ----------------------------------------------------------------------</w:t>
      </w:r>
    </w:p>
    <w:p>
      <w:r>
        <w:rPr>
          <w:rFonts w:ascii="Arial" w:hAnsi="Arial"/>
          <w:b/>
          <w:sz w:val="22"/>
        </w:rPr>
        <w:t>Appendix D: Version History</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Version</w:t>
            </w:r>
          </w:p>
        </w:tc>
        <w:tc>
          <w:tcPr>
            <w:tcW w:type="dxa" w:w="3120"/>
          </w:tcPr>
          <w:p>
            <w:r>
              <w:rPr>
                <w:rFonts w:ascii="Arial" w:hAnsi="Arial"/>
                <w:b/>
                <w:sz w:val="18"/>
              </w:rPr>
              <w:t>Release Date</w:t>
            </w:r>
          </w:p>
        </w:tc>
        <w:tc>
          <w:tcPr>
            <w:tcW w:type="dxa" w:w="3120"/>
          </w:tcPr>
          <w:p>
            <w:r>
              <w:rPr>
                <w:rFonts w:ascii="Arial" w:hAnsi="Arial"/>
                <w:b/>
                <w:sz w:val="18"/>
              </w:rPr>
              <w:t>Main Content</w:t>
            </w:r>
          </w:p>
        </w:tc>
      </w:tr>
      <w:tr>
        <w:tc>
          <w:tcPr>
            <w:tcW w:type="dxa" w:w="3120"/>
          </w:tcPr>
          <w:p>
            <w:r>
              <w:rPr>
                <w:rFonts w:ascii="Arial" w:hAnsi="Arial"/>
                <w:sz w:val="18"/>
              </w:rPr>
              <w:t>v0.1 (Internal Beta)</w:t>
            </w:r>
          </w:p>
        </w:tc>
        <w:tc>
          <w:tcPr>
            <w:tcW w:type="dxa" w:w="3120"/>
          </w:tcPr>
          <w:p>
            <w:r>
              <w:rPr>
                <w:rFonts w:ascii="Arial" w:hAnsi="Arial"/>
                <w:sz w:val="18"/>
              </w:rPr>
              <w:t>Q1 2025</w:t>
            </w:r>
          </w:p>
        </w:tc>
        <w:tc>
          <w:tcPr>
            <w:tcW w:type="dxa" w:w="3120"/>
          </w:tcPr>
          <w:p>
            <w:r>
              <w:rPr>
                <w:rFonts w:ascii="Arial" w:hAnsi="Arial"/>
                <w:sz w:val="18"/>
              </w:rPr>
              <w:t>Core framework draft; feedback from 50 internal beta readers</w:t>
            </w:r>
          </w:p>
        </w:tc>
      </w:tr>
      <w:tr>
        <w:tc>
          <w:tcPr>
            <w:tcW w:type="dxa" w:w="3120"/>
          </w:tcPr>
          <w:p>
            <w:r>
              <w:rPr>
                <w:rFonts w:ascii="Arial" w:hAnsi="Arial"/>
                <w:sz w:val="18"/>
              </w:rPr>
              <w:t>v0.5 (Public Comment Draft)</w:t>
            </w:r>
          </w:p>
        </w:tc>
        <w:tc>
          <w:tcPr>
            <w:tcW w:type="dxa" w:w="3120"/>
          </w:tcPr>
          <w:p>
            <w:r>
              <w:rPr>
                <w:rFonts w:ascii="Arial" w:hAnsi="Arial"/>
                <w:sz w:val="18"/>
              </w:rPr>
              <w:t>Q2 2025</w:t>
            </w:r>
          </w:p>
        </w:tc>
        <w:tc>
          <w:tcPr>
            <w:tcW w:type="dxa" w:w="3120"/>
          </w:tcPr>
          <w:p>
            <w:r>
              <w:rPr>
                <w:rFonts w:ascii="Arial" w:hAnsi="Arial"/>
                <w:sz w:val="18"/>
              </w:rPr>
              <w:t>Complete eight-chapter structure; open for public comment</w:t>
            </w:r>
          </w:p>
        </w:tc>
      </w:tr>
      <w:tr>
        <w:tc>
          <w:tcPr>
            <w:tcW w:type="dxa" w:w="3120"/>
          </w:tcPr>
          <w:p>
            <w:r>
              <w:rPr>
                <w:rFonts w:ascii="Arial" w:hAnsi="Arial"/>
                <w:sz w:val="18"/>
              </w:rPr>
              <w:t>v1.0 (Official Version)</w:t>
            </w:r>
          </w:p>
        </w:tc>
        <w:tc>
          <w:tcPr>
            <w:tcW w:type="dxa" w:w="3120"/>
          </w:tcPr>
          <w:p>
            <w:r>
              <w:rPr>
                <w:rFonts w:ascii="Arial" w:hAnsi="Arial"/>
                <w:sz w:val="18"/>
              </w:rPr>
              <w:t>Q4 2025</w:t>
            </w:r>
          </w:p>
        </w:tc>
        <w:tc>
          <w:tcPr>
            <w:tcW w:type="dxa" w:w="3120"/>
          </w:tcPr>
          <w:p>
            <w:r>
              <w:rPr>
                <w:rFonts w:ascii="Arial" w:hAnsi="Arial"/>
                <w:sz w:val="18"/>
              </w:rPr>
              <w:t>Incorporates all public feedback; reviewed by academic advisors; officially released</w:t>
            </w:r>
          </w:p>
        </w:tc>
      </w:tr>
    </w:tbl>
    <w:p>
      <w:r>
        <w:rPr>
          <w:rFonts w:ascii="Arial" w:hAnsi="Arial"/>
          <w:i/>
          <w:sz w:val="22"/>
        </w:rPr>
        <w:t>This chapter: approximately 6,400 words · Appendix: approximately 2,000 words</w:t>
      </w:r>
    </w:p>
    <w:p>
      <w:r>
        <w:rPr>
          <w:rFonts w:ascii="Arial" w:hAnsi="Arial"/>
          <w:i/>
          <w:sz w:val="22"/>
        </w:rPr>
        <w:t>DAOTONG AI Governance Whitepaper v1.0 · Chapter 8 and Appendix</w:t>
      </w:r>
    </w:p>
    <w:p>
      <w:r>
        <w:rPr>
          <w:rFonts w:ascii="Arial" w:hAnsi="Arial"/>
          <w:b/>
          <w:sz w:val="22"/>
        </w:rPr>
        <w:t>End of Document</w:t>
      </w:r>
    </w:p>
    <w:p>
      <w:r>
        <w:rPr>
          <w:rFonts w:ascii="Arial" w:hAnsi="Arial"/>
          <w:i/>
          <w:sz w:val="22"/>
        </w:rPr>
        <w:t>Total: approximately 64,000 words · Eight Chapters + Appendix</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99999"/>
        <w:sz w:val="18"/>
      </w:rPr>
      <w:t xml:space="preserve">Page </w:t>
    </w:r>
    <w:r>
      <w:fldChar w:fldCharType="begin"/>
    </w:r>
    <w:r>
      <w:instrText xml:space="preserve"> PAGE </w:instrText>
    </w:r>
    <w:r>
      <w:fldChar w:fldCharType="end"/>
    </w:r>
    <w:r>
      <w:rPr>
        <w:rFonts w:ascii="Arial" w:hAnsi="Arial"/>
        <w:color w:val="999999"/>
        <w:sz w:val="18"/>
      </w:rPr>
      <w:t xml:space="preserve"> of </w:t>
    </w:r>
    <w:r>
      <w:fldChar w:fldCharType="begin"/>
    </w:r>
    <w:r>
      <w:instrText xml:space="preserve"> NUMPAGES </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DAOTONG AI Governance · Ch8 Pathway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color w:val="999999"/>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A3C6E"/>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A3C6E"/>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A3C6E"/>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