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AI Civilization Governance System · Whitepaper v1.0</w:t>
      </w:r>
    </w:p>
    <w:p>
      <w:r>
        <w:rPr>
          <w:rFonts w:ascii="Arial" w:hAnsi="Arial"/>
          <w:b/>
          <w:sz w:val="22"/>
        </w:rPr>
        <w:t>Chapter 7 Security: Risks and Protection Mechanisms</w:t>
      </w:r>
    </w:p>
    <w:p>
      <w:r>
        <w:rPr>
          <w:rFonts w:ascii="Arial" w:hAnsi="Arial"/>
          <w:i/>
          <w:sz w:val="22"/>
        </w:rPr>
        <w:t>Responsible system design not only describes how a system succeeds, but more importantly, details how a system fails—and how it can safely cut losses when it does fail. This chapter examines the AI governance system from an attacker's perspective: If someone wanted to sabotage it, where would they start? What are the consequences of each successful attack? How does the design reduce the probability of successful attacks, and how does it limit the damage scope of successful attacks? This is not pessimism—it is engineering honesty. Any system that claims to have no vulnerabilities simply has not yet been seriously attacked.</w:t>
      </w:r>
    </w:p>
    <w:p>
      <w:r>
        <w:rPr>
          <w:rFonts w:ascii="Arial" w:hAnsi="Arial"/>
          <w:b/>
          <w:sz w:val="22"/>
        </w:rPr>
        <w:t>7.1 Fundamental Philosophy of Security Design: Assume Failure, Design Recovery</w:t>
      </w:r>
    </w:p>
    <w:p>
      <w:r>
        <w:rPr>
          <w:rFonts w:ascii="Arial" w:hAnsi="Arial"/>
          <w:sz w:val="22"/>
        </w:rPr>
        <w:t>The traditional approach to security design is: build defenses strong enough that attacks cannot penetrate. This approach has been proven inadequate countless times when facing sufficiently complex and sustained attacks.</w:t>
      </w:r>
    </w:p>
    <w:p>
      <w:r>
        <w:rPr>
          <w:rFonts w:ascii="Arial" w:hAnsi="Arial"/>
          <w:sz w:val="22"/>
        </w:rPr>
        <w:t>The AI governance system adopts a different philosophy for security design:</w:t>
      </w:r>
    </w:p>
    <w:p>
      <w:pPr>
        <w:pStyle w:val="ListBullet"/>
      </w:pPr>
      <w:r>
        <w:rPr>
          <w:rFonts w:ascii="Arial" w:hAnsi="Arial"/>
          <w:b/>
          <w:sz w:val="22"/>
        </w:rPr>
        <w:t>Assume the worst-case scenario:</w:t>
      </w:r>
      <w:r>
        <w:rPr>
          <w:rFonts w:ascii="Arial" w:hAnsi="Arial"/>
          <w:sz w:val="22"/>
        </w:rPr>
        <w:t xml:space="preserve"> The starting point for system design is: defenses will eventually be breached, some components will eventually fail, some personnel will eventually be compromised. The question is not how to achieve invulnerability, but rather: when these things happen, what is the scope of the damage, and how long does recovery take.</w:t>
      </w:r>
    </w:p>
    <w:p>
      <w:pPr>
        <w:pStyle w:val="ListBullet"/>
      </w:pPr>
      <w:r>
        <w:rPr>
          <w:rFonts w:ascii="Arial" w:hAnsi="Arial"/>
          <w:b/>
          <w:sz w:val="22"/>
        </w:rPr>
        <w:t>Defense in depth:</w:t>
      </w:r>
      <w:r>
        <w:rPr>
          <w:rFonts w:ascii="Arial" w:hAnsi="Arial"/>
          <w:sz w:val="22"/>
        </w:rPr>
        <w:t xml:space="preserve"> No single protective mechanism is reliable. The five-layer defense system ensures that an attacker must simultaneously breach multiple independent layers of defense to achieve substantive damage, and each layer has its own independent technical foundation that does not fail due to other layers failing.</w:t>
      </w:r>
    </w:p>
    <w:p>
      <w:pPr>
        <w:pStyle w:val="ListBullet"/>
      </w:pPr>
      <w:r>
        <w:rPr>
          <w:rFonts w:ascii="Arial" w:hAnsi="Arial"/>
          <w:b/>
          <w:sz w:val="22"/>
        </w:rPr>
        <w:t>Fail-safe:</w:t>
      </w:r>
      <w:r>
        <w:rPr>
          <w:rFonts w:ascii="Arial" w:hAnsi="Arial"/>
          <w:sz w:val="22"/>
        </w:rPr>
        <w:t xml:space="preserve"> When the system is uncertain what to do, the default behavior is to stop and request human intervention, rather than guessing the most likely answer and continuing execution. An erroneous stop is always less costly than an erroneous execution.</w:t>
      </w:r>
    </w:p>
    <w:p>
      <w:pPr>
        <w:pStyle w:val="ListBullet"/>
      </w:pPr>
      <w:r>
        <w:rPr>
          <w:rFonts w:ascii="Arial" w:hAnsi="Arial"/>
          <w:b/>
          <w:sz w:val="22"/>
        </w:rPr>
        <w:t>Transparent failure:</w:t>
      </w:r>
      <w:r>
        <w:rPr>
          <w:rFonts w:ascii="Arial" w:hAnsi="Arial"/>
          <w:sz w:val="22"/>
        </w:rPr>
        <w:t xml:space="preserve"> Transparency during failure is as important as failure prevention. Any security incident, any system anomaly, any emergency recovery operation must leave complete On-chain records, made immediately public to all citizens after security is restored. Hidden failures are more dangerous than the failures themselves.</w:t>
      </w:r>
    </w:p>
    <w:p>
      <w:pPr>
        <w:ind w:left="567"/>
      </w:pPr>
      <w:r>
        <w:rPr>
          <w:rFonts w:ascii="Arial" w:hAnsi="Arial"/>
          <w:i/>
          <w:color w:val="555555"/>
          <w:sz w:val="22"/>
        </w:rPr>
        <w:t>*</w:t>
      </w:r>
      <w:r>
        <w:rPr>
          <w:rFonts w:ascii="Arial" w:hAnsi="Arial"/>
          <w:b/>
          <w:i/>
          <w:color w:val="555555"/>
          <w:sz w:val="22"/>
        </w:rPr>
        <w:t>The true security of a system does not lie in the fact that it never fails, but in how gracefully it degrades when it fails, and how quickly it can be trusted to recover.</w:t>
      </w:r>
      <w:r>
        <w:rPr>
          <w:rFonts w:ascii="Arial" w:hAnsi="Arial"/>
          <w:i/>
          <w:color w:val="555555"/>
          <w:sz w:val="22"/>
        </w:rPr>
        <w:t>*</w:t>
      </w:r>
    </w:p>
    <w:p>
      <w:r>
        <w:rPr>
          <w:rFonts w:ascii="Arial" w:hAnsi="Arial"/>
          <w:b/>
          <w:sz w:val="22"/>
        </w:rPr>
        <w:t>7.2 Five-Layer Defense-in-Depth System</w:t>
      </w:r>
    </w:p>
    <w:p>
      <w:r>
        <w:rPr>
          <w:rFonts w:ascii="Arial" w:hAnsi="Arial"/>
          <w:sz w:val="22"/>
        </w:rPr>
        <w:t>The five-layer defense system is the backbone of the entire security architecture. Each layer is an independent protective mechanism; the failure of any single layer does not affect the operation of other layers.</w:t>
      </w:r>
    </w:p>
    <w:tbl>
      <w:tblPr>
        <w:tblStyle w:val="LightShading-Accent1"/>
        <w:tblW w:type="auto" w:w="0"/>
        <w:tblLook w:firstColumn="1" w:firstRow="1" w:lastColumn="0" w:lastRow="0" w:noHBand="0" w:noVBand="1" w:val="04A0"/>
      </w:tblPr>
      <w:tblGrid>
        <w:gridCol w:w="2340"/>
        <w:gridCol w:w="2340"/>
        <w:gridCol w:w="2340"/>
        <w:gridCol w:w="2340"/>
      </w:tblGrid>
      <w:tr>
        <w:tc>
          <w:tcPr>
            <w:tcW w:type="dxa" w:w="2340"/>
          </w:tcPr>
          <w:p>
            <w:r>
              <w:rPr>
                <w:rFonts w:ascii="Arial" w:hAnsi="Arial"/>
                <w:b/>
                <w:sz w:val="18"/>
              </w:rPr>
              <w:t>Defense Layer</w:t>
            </w:r>
          </w:p>
        </w:tc>
        <w:tc>
          <w:tcPr>
            <w:tcW w:type="dxa" w:w="2340"/>
          </w:tcPr>
          <w:p>
            <w:r>
              <w:rPr>
                <w:rFonts w:ascii="Arial" w:hAnsi="Arial"/>
                <w:b/>
                <w:sz w:val="18"/>
              </w:rPr>
              <w:t>Mechanism</w:t>
            </w:r>
          </w:p>
        </w:tc>
        <w:tc>
          <w:tcPr>
            <w:tcW w:type="dxa" w:w="2340"/>
          </w:tcPr>
          <w:p>
            <w:r>
              <w:rPr>
                <w:rFonts w:ascii="Arial" w:hAnsi="Arial"/>
                <w:b/>
                <w:sz w:val="18"/>
              </w:rPr>
              <w:t>Independence Design</w:t>
            </w:r>
          </w:p>
        </w:tc>
        <w:tc>
          <w:tcPr>
            <w:tcW w:type="dxa" w:w="2340"/>
          </w:tcPr>
          <w:p>
            <w:r>
              <w:rPr>
                <w:rFonts w:ascii="Arial" w:hAnsi="Arial"/>
                <w:b/>
                <w:sz w:val="18"/>
              </w:rPr>
              <w:t>When This Layer Fails</w:t>
            </w:r>
          </w:p>
        </w:tc>
      </w:tr>
      <w:tr>
        <w:tc>
          <w:tcPr>
            <w:tcW w:type="dxa" w:w="2340"/>
          </w:tcPr>
          <w:p>
            <w:r>
              <w:rPr>
                <w:rFonts w:ascii="Arial" w:hAnsi="Arial"/>
                <w:sz w:val="18"/>
              </w:rPr>
              <w:t>Layer 1: Constitutional Hard Constraints</w:t>
            </w:r>
          </w:p>
        </w:tc>
        <w:tc>
          <w:tcPr>
            <w:tcW w:type="dxa" w:w="2340"/>
          </w:tcPr>
          <w:p>
            <w:r>
              <w:rPr>
                <w:rFonts w:ascii="Arial" w:hAnsi="Arial"/>
                <w:sz w:val="18"/>
              </w:rPr>
              <w:t>Absolute boundaries of AI authority, written into system architecture</w:t>
            </w:r>
          </w:p>
        </w:tc>
        <w:tc>
          <w:tcPr>
            <w:tcW w:type="dxa" w:w="2340"/>
          </w:tcPr>
          <w:p>
            <w:r>
              <w:rPr>
                <w:rFonts w:ascii="Arial" w:hAnsi="Arial"/>
                <w:sz w:val="18"/>
              </w:rPr>
              <w:t>Does not depend on any runtime logic; is an architectural-level constraint</w:t>
            </w:r>
          </w:p>
        </w:tc>
        <w:tc>
          <w:tcPr>
            <w:tcW w:type="dxa" w:w="2340"/>
          </w:tcPr>
          <w:p>
            <w:r>
              <w:rPr>
                <w:rFonts w:ascii="Arial" w:hAnsi="Arial"/>
                <w:sz w:val="18"/>
              </w:rPr>
              <w:t>Attackers still need to breach Layers 2–5</w:t>
            </w:r>
          </w:p>
        </w:tc>
      </w:tr>
      <w:tr>
        <w:tc>
          <w:tcPr>
            <w:tcW w:type="dxa" w:w="2340"/>
          </w:tcPr>
          <w:p>
            <w:r>
              <w:rPr>
                <w:rFonts w:ascii="Arial" w:hAnsi="Arial"/>
                <w:sz w:val="18"/>
              </w:rPr>
              <w:t>Layer 2: Elder Council Veto Power</w:t>
            </w:r>
          </w:p>
        </w:tc>
        <w:tc>
          <w:tcPr>
            <w:tcW w:type="dxa" w:w="2340"/>
          </w:tcPr>
          <w:p>
            <w:r>
              <w:rPr>
                <w:rFonts w:ascii="Arial" w:hAnsi="Arial"/>
                <w:sz w:val="18"/>
              </w:rPr>
              <w:t>Ultimate human brake, independent physical infrastructure</w:t>
            </w:r>
          </w:p>
        </w:tc>
        <w:tc>
          <w:tcPr>
            <w:tcW w:type="dxa" w:w="2340"/>
          </w:tcPr>
          <w:p>
            <w:r>
              <w:rPr>
                <w:rFonts w:ascii="Arial" w:hAnsi="Arial"/>
                <w:sz w:val="18"/>
              </w:rPr>
              <w:t>Physically isolated from AI main system; completely independent operation</w:t>
            </w:r>
          </w:p>
        </w:tc>
        <w:tc>
          <w:tcPr>
            <w:tcW w:type="dxa" w:w="2340"/>
          </w:tcPr>
          <w:p>
            <w:r>
              <w:rPr>
                <w:rFonts w:ascii="Arial" w:hAnsi="Arial"/>
                <w:sz w:val="18"/>
              </w:rPr>
              <w:t>AIGC can be stopped; manual takeover can be activated</w:t>
            </w:r>
          </w:p>
        </w:tc>
      </w:tr>
      <w:tr>
        <w:tc>
          <w:tcPr>
            <w:tcW w:type="dxa" w:w="2340"/>
          </w:tcPr>
          <w:p>
            <w:r>
              <w:rPr>
                <w:rFonts w:ascii="Arial" w:hAnsi="Arial"/>
                <w:sz w:val="18"/>
              </w:rPr>
              <w:t>Layer 3: Real-time Monitoring System</w:t>
            </w:r>
          </w:p>
        </w:tc>
        <w:tc>
          <w:tcPr>
            <w:tcW w:type="dxa" w:w="2340"/>
          </w:tcPr>
          <w:p>
            <w:r>
              <w:rPr>
                <w:rFonts w:ascii="Arial" w:hAnsi="Arial"/>
                <w:sz w:val="18"/>
              </w:rPr>
              <w:t>Continuous behavioral monitoring and statistical anomaly detection</w:t>
            </w:r>
          </w:p>
        </w:tc>
        <w:tc>
          <w:tcPr>
            <w:tcW w:type="dxa" w:w="2340"/>
          </w:tcPr>
          <w:p>
            <w:r>
              <w:rPr>
                <w:rFonts w:ascii="Arial" w:hAnsi="Arial"/>
                <w:sz w:val="18"/>
              </w:rPr>
              <w:t>Physically isolated from main system; unidirectional data reception</w:t>
            </w:r>
          </w:p>
        </w:tc>
        <w:tc>
          <w:tcPr>
            <w:tcW w:type="dxa" w:w="2340"/>
          </w:tcPr>
          <w:p>
            <w:r>
              <w:rPr>
                <w:rFonts w:ascii="Arial" w:hAnsi="Arial"/>
                <w:sz w:val="18"/>
              </w:rPr>
              <w:t>Monitoring blind spots; however, Layers 4 and 5 remain operational</w:t>
            </w:r>
          </w:p>
        </w:tc>
      </w:tr>
      <w:tr>
        <w:tc>
          <w:tcPr>
            <w:tcW w:type="dxa" w:w="2340"/>
          </w:tcPr>
          <w:p>
            <w:r>
              <w:rPr>
                <w:rFonts w:ascii="Arial" w:hAnsi="Arial"/>
                <w:sz w:val="18"/>
              </w:rPr>
              <w:t>Layer 4: Independent Audit Network</w:t>
            </w:r>
          </w:p>
        </w:tc>
        <w:tc>
          <w:tcPr>
            <w:tcW w:type="dxa" w:w="2340"/>
          </w:tcPr>
          <w:p>
            <w:r>
              <w:rPr>
                <w:rFonts w:ascii="Arial" w:hAnsi="Arial"/>
                <w:sz w:val="18"/>
              </w:rPr>
              <w:t>Continuous audits by independent audit institutions in five different countries/regions</w:t>
            </w:r>
          </w:p>
        </w:tc>
        <w:tc>
          <w:tcPr>
            <w:tcW w:type="dxa" w:w="2340"/>
          </w:tcPr>
          <w:p>
            <w:r>
              <w:rPr>
                <w:rFonts w:ascii="Arial" w:hAnsi="Arial"/>
                <w:sz w:val="18"/>
              </w:rPr>
              <w:t>Geographically and politically dispersed; no common failure points</w:t>
            </w:r>
          </w:p>
        </w:tc>
        <w:tc>
          <w:tcPr>
            <w:tcW w:type="dxa" w:w="2340"/>
          </w:tcPr>
          <w:p>
            <w:r>
              <w:rPr>
                <w:rFonts w:ascii="Arial" w:hAnsi="Arial"/>
                <w:sz w:val="18"/>
              </w:rPr>
              <w:t>Failure of one audit institution does not affect the other four</w:t>
            </w:r>
          </w:p>
        </w:tc>
      </w:tr>
      <w:tr>
        <w:tc>
          <w:tcPr>
            <w:tcW w:type="dxa" w:w="2340"/>
          </w:tcPr>
          <w:p>
            <w:r>
              <w:rPr>
                <w:rFonts w:ascii="Arial" w:hAnsi="Arial"/>
                <w:sz w:val="18"/>
              </w:rPr>
              <w:t>Layer 5: Citizen Reporting System</w:t>
            </w:r>
          </w:p>
        </w:tc>
        <w:tc>
          <w:tcPr>
            <w:tcW w:type="dxa" w:w="2340"/>
          </w:tcPr>
          <w:p>
            <w:r>
              <w:rPr>
                <w:rFonts w:ascii="Arial" w:hAnsi="Arial"/>
                <w:sz w:val="18"/>
              </w:rPr>
              <w:t>Any citizen discovering anomalies can report them On-chain</w:t>
            </w:r>
          </w:p>
        </w:tc>
        <w:tc>
          <w:tcPr>
            <w:tcW w:type="dxa" w:w="2340"/>
          </w:tcPr>
          <w:p>
            <w:r>
              <w:rPr>
                <w:rFonts w:ascii="Arial" w:hAnsi="Arial"/>
                <w:sz w:val="18"/>
              </w:rPr>
              <w:t>Completely decentralized; no central control point</w:t>
            </w:r>
          </w:p>
        </w:tc>
        <w:tc>
          <w:tcPr>
            <w:tcW w:type="dxa" w:w="2340"/>
          </w:tcPr>
          <w:p>
            <w:r>
              <w:rPr>
                <w:rFonts w:ascii="Arial" w:hAnsi="Arial"/>
                <w:sz w:val="18"/>
              </w:rPr>
              <w:t>Submission volume threshold must be reached to trigger investigation</w:t>
            </w:r>
          </w:p>
        </w:tc>
      </w:tr>
    </w:tbl>
    <w:p>
      <w:r>
        <w:rPr>
          <w:rFonts w:ascii="Arial" w:hAnsi="Arial"/>
          <w:sz w:val="22"/>
        </w:rPr>
        <w:t>The key characteristic of the five-layer defense is: each layer uses different technical foundations, which means attack vectors that can breach one layer typically cannot be directly applied to breach other layers. Attackers need to design attacks separately for each layer, with costs increasing exponentially with the number of layers.</w:t>
      </w:r>
    </w:p>
    <w:p>
      <w:r>
        <w:rPr>
          <w:rFonts w:ascii="Arial" w:hAnsi="Arial"/>
          <w:b/>
          <w:sz w:val="22"/>
        </w:rPr>
        <w:t>7.3 Complete Analysis of Seven Threat Models</w:t>
      </w:r>
    </w:p>
    <w:p>
      <w:r>
        <w:rPr>
          <w:rFonts w:ascii="Arial" w:hAnsi="Arial"/>
          <w:b/>
          <w:sz w:val="22"/>
        </w:rPr>
        <w:t>Threat 1: AI Objective Function Tampering</w:t>
      </w:r>
    </w:p>
    <w:p>
      <w:r>
        <w:rPr>
          <w:rFonts w:ascii="Arial" w:hAnsi="Arial"/>
          <w:b/>
          <w:sz w:val="22"/>
        </w:rPr>
        <w:t>【Extremely High Risk】 If the AI system's true objectives are inconsistent with publicly stated objectives, all other protections are protecting the wrong things</w:t>
      </w:r>
    </w:p>
    <w:p>
      <w:r>
        <w:rPr>
          <w:rFonts w:ascii="Arial" w:hAnsi="Arial"/>
          <w:sz w:val="22"/>
        </w:rPr>
        <w:t>Attack vectors: Injecting data biased toward specific interest groups during model training; replacing compliant parameters during model updates; modifying AIGC's optimization objectives through internal access.</w:t>
      </w:r>
    </w:p>
    <w:tbl>
      <w:tblPr>
        <w:tblStyle w:val="LightShading-Accent1"/>
        <w:tblW w:type="auto" w:w="0"/>
        <w:tblLook w:firstColumn="1" w:firstRow="1" w:lastColumn="0" w:lastRow="0" w:noHBand="0" w:noVBand="1" w:val="04A0"/>
      </w:tblPr>
      <w:tblGrid>
        <w:gridCol w:w="3120"/>
        <w:gridCol w:w="3120"/>
        <w:gridCol w:w="3120"/>
      </w:tblGrid>
      <w:tr>
        <w:tc>
          <w:tcPr>
            <w:tcW w:type="dxa" w:w="3120"/>
          </w:tcPr>
          <w:p>
            <w:r>
              <w:rPr>
                <w:rFonts w:ascii="Arial" w:hAnsi="Arial"/>
                <w:b/>
                <w:sz w:val="18"/>
              </w:rPr>
              <w:t>Protective Measures</w:t>
            </w:r>
          </w:p>
        </w:tc>
        <w:tc>
          <w:tcPr>
            <w:tcW w:type="dxa" w:w="3120"/>
          </w:tcPr>
          <w:p>
            <w:r>
              <w:rPr>
                <w:rFonts w:ascii="Arial" w:hAnsi="Arial"/>
                <w:b/>
                <w:sz w:val="18"/>
              </w:rPr>
              <w:t>Technical Implementation</w:t>
            </w:r>
          </w:p>
        </w:tc>
        <w:tc>
          <w:tcPr>
            <w:tcW w:type="dxa" w:w="3120"/>
          </w:tcPr>
          <w:p>
            <w:r>
              <w:rPr>
                <w:rFonts w:ascii="Arial" w:hAnsi="Arial"/>
                <w:b/>
                <w:sz w:val="18"/>
              </w:rPr>
              <w:t>Effectiveness Limitations</w:t>
            </w:r>
          </w:p>
        </w:tc>
      </w:tr>
      <w:tr>
        <w:tc>
          <w:tcPr>
            <w:tcW w:type="dxa" w:w="3120"/>
          </w:tcPr>
          <w:p>
            <w:r>
              <w:rPr>
                <w:rFonts w:ascii="Arial" w:hAnsi="Arial"/>
                <w:sz w:val="18"/>
              </w:rPr>
              <w:t>Continuous model hash verification</w:t>
            </w:r>
          </w:p>
        </w:tc>
        <w:tc>
          <w:tcPr>
            <w:tcW w:type="dxa" w:w="3120"/>
          </w:tcPr>
          <w:p>
            <w:r>
              <w:rPr>
                <w:rFonts w:ascii="Arial" w:hAnsi="Arial"/>
                <w:sz w:val="18"/>
              </w:rPr>
              <w:t>When AIGC produces output, verify that the hash of current model weights matches the registered version</w:t>
            </w:r>
          </w:p>
        </w:tc>
        <w:tc>
          <w:tcPr>
            <w:tcW w:type="dxa" w:w="3120"/>
          </w:tcPr>
          <w:p>
            <w:r>
              <w:rPr>
                <w:rFonts w:ascii="Arial" w:hAnsi="Arial"/>
                <w:sz w:val="18"/>
              </w:rPr>
              <w:t>Requires preventing the hash verification mechanism itself from being replaced</w:t>
            </w:r>
          </w:p>
        </w:tc>
      </w:tr>
      <w:tr>
        <w:tc>
          <w:tcPr>
            <w:tcW w:type="dxa" w:w="3120"/>
          </w:tcPr>
          <w:p>
            <w:r>
              <w:rPr>
                <w:rFonts w:ascii="Arial" w:hAnsi="Arial"/>
                <w:sz w:val="18"/>
              </w:rPr>
              <w:t>Multi-version parallel execution</w:t>
            </w:r>
          </w:p>
        </w:tc>
        <w:tc>
          <w:tcPr>
            <w:tcW w:type="dxa" w:w="3120"/>
          </w:tcPr>
          <w:p>
            <w:r>
              <w:rPr>
                <w:rFonts w:ascii="Arial" w:hAnsi="Arial"/>
                <w:sz w:val="18"/>
              </w:rPr>
              <w:t>Two independently trained AIGC versions simultaneously process each decision; outputs are compared</w:t>
            </w:r>
          </w:p>
        </w:tc>
        <w:tc>
          <w:tcPr>
            <w:tcW w:type="dxa" w:w="3120"/>
          </w:tcPr>
          <w:p>
            <w:r>
              <w:rPr>
                <w:rFonts w:ascii="Arial" w:hAnsi="Arial"/>
                <w:sz w:val="18"/>
              </w:rPr>
              <w:t>Computational cost doubles; must ensure the two versions use completely independent training pipelines</w:t>
            </w:r>
          </w:p>
        </w:tc>
      </w:tr>
      <w:tr>
        <w:tc>
          <w:tcPr>
            <w:tcW w:type="dxa" w:w="3120"/>
          </w:tcPr>
          <w:p>
            <w:r>
              <w:rPr>
                <w:rFonts w:ascii="Arial" w:hAnsi="Arial"/>
                <w:sz w:val="18"/>
              </w:rPr>
              <w:t>Behavioral distribution monitoring</w:t>
            </w:r>
          </w:p>
        </w:tc>
        <w:tc>
          <w:tcPr>
            <w:tcW w:type="dxa" w:w="3120"/>
          </w:tcPr>
          <w:p>
            <w:r>
              <w:rPr>
                <w:rFonts w:ascii="Arial" w:hAnsi="Arial"/>
                <w:sz w:val="18"/>
              </w:rPr>
              <w:t>Statistical analysis of AIGC decision distribution; detect significant deviations from historical baseline</w:t>
            </w:r>
          </w:p>
        </w:tc>
        <w:tc>
          <w:tcPr>
            <w:tcW w:type="dxa" w:w="3120"/>
          </w:tcPr>
          <w:p>
            <w:r>
              <w:rPr>
                <w:rFonts w:ascii="Arial" w:hAnsi="Arial"/>
                <w:sz w:val="18"/>
              </w:rPr>
              <w:t>Requires sufficiently long historical baseline; gradual tampering may be statistically difficult to detect</w:t>
            </w:r>
          </w:p>
        </w:tc>
      </w:tr>
      <w:tr>
        <w:tc>
          <w:tcPr>
            <w:tcW w:type="dxa" w:w="3120"/>
          </w:tcPr>
          <w:p>
            <w:r>
              <w:rPr>
                <w:rFonts w:ascii="Arial" w:hAnsi="Arial"/>
                <w:sz w:val="18"/>
              </w:rPr>
              <w:t>Edge case stress testing</w:t>
            </w:r>
          </w:p>
        </w:tc>
        <w:tc>
          <w:tcPr>
            <w:tcW w:type="dxa" w:w="3120"/>
          </w:tcPr>
          <w:p>
            <w:r>
              <w:rPr>
                <w:rFonts w:ascii="Arial" w:hAnsi="Arial"/>
                <w:sz w:val="18"/>
              </w:rPr>
              <w:t>Quarterly input of preset moral boundary test cases to AIGC; check whether responses remain consistent</w:t>
            </w:r>
          </w:p>
        </w:tc>
        <w:tc>
          <w:tcPr>
            <w:tcW w:type="dxa" w:w="3120"/>
          </w:tcPr>
          <w:p>
            <w:r>
              <w:rPr>
                <w:rFonts w:ascii="Arial" w:hAnsi="Arial"/>
                <w:sz w:val="18"/>
              </w:rPr>
              <w:t>Test case library requires continuous updates; prevent tests themselves from being circumvented through targeted means</w:t>
            </w:r>
          </w:p>
        </w:tc>
      </w:tr>
    </w:tbl>
    <w:p>
      <w:r>
        <w:rPr>
          <w:rFonts w:ascii="Arial" w:hAnsi="Arial"/>
          <w:b/>
          <w:sz w:val="22"/>
        </w:rPr>
        <w:t>Threat 2: Training Data Poisoning</w:t>
      </w:r>
    </w:p>
    <w:p>
      <w:r>
        <w:rPr>
          <w:rFonts w:ascii="Arial" w:hAnsi="Arial"/>
          <w:b/>
          <w:sz w:val="22"/>
        </w:rPr>
        <w:t>【Extremely High Risk】 By contaminating AIGC's training data, causing it to learn patterns unfavorable to specific groups</w:t>
      </w:r>
    </w:p>
    <w:p>
      <w:r>
        <w:rPr>
          <w:rFonts w:ascii="Arial" w:hAnsi="Arial"/>
          <w:sz w:val="22"/>
        </w:rPr>
        <w:t>Attack vectors: Injecting anomalous samples during data collection; systematically influencing data quality by controlling data source institutions; tampering with annotations during data preprocessing.</w:t>
      </w:r>
    </w:p>
    <w:p>
      <w:r>
        <w:rPr>
          <w:rFonts w:ascii="Arial" w:hAnsi="Arial"/>
          <w:sz w:val="22"/>
        </w:rPr>
        <w:t>Protective measures:</w:t>
      </w:r>
    </w:p>
    <w:p>
      <w:pPr>
        <w:pStyle w:val="ListBullet"/>
      </w:pPr>
      <w:r>
        <w:rPr>
          <w:rFonts w:ascii="Arial" w:hAnsi="Arial"/>
          <w:sz w:val="22"/>
        </w:rPr>
        <w:t>All training data sources are On-chain traceable; each data point has immutable source records and collection timestamps</w:t>
      </w:r>
    </w:p>
    <w:p>
      <w:pPr>
        <w:pStyle w:val="ListBullet"/>
      </w:pPr>
      <w:r>
        <w:rPr>
          <w:rFonts w:ascii="Arial" w:hAnsi="Arial"/>
          <w:sz w:val="22"/>
        </w:rPr>
        <w:t>Data undergoes statistical anomaly detection before entering the training set; samples significantly deviating from historical distribution require additional manual verification</w:t>
      </w:r>
    </w:p>
    <w:p>
      <w:pPr>
        <w:pStyle w:val="ListBullet"/>
      </w:pPr>
      <w:r>
        <w:rPr>
          <w:rFonts w:ascii="Arial" w:hAnsi="Arial"/>
          <w:sz w:val="22"/>
        </w:rPr>
        <w:t>Training dataset diversification requirements: no more than 20% of data may come from a single source institution</w:t>
      </w:r>
    </w:p>
    <w:p>
      <w:pPr>
        <w:pStyle w:val="ListBullet"/>
      </w:pPr>
      <w:r>
        <w:rPr>
          <w:rFonts w:ascii="Arial" w:hAnsi="Arial"/>
          <w:sz w:val="22"/>
        </w:rPr>
        <w:t>Conduct counterfactual fairness testing on trained models to detect whether indirect discrimination exists against protected attributes</w:t>
      </w:r>
    </w:p>
    <w:p>
      <w:r>
        <w:rPr>
          <w:rFonts w:ascii="Arial" w:hAnsi="Arial"/>
          <w:b/>
          <w:sz w:val="22"/>
        </w:rPr>
        <w:t>Threat 3: Insider Abuse of Authority</w:t>
      </w:r>
    </w:p>
    <w:p>
      <w:r>
        <w:rPr>
          <w:rFonts w:ascii="Arial" w:hAnsi="Arial"/>
          <w:b/>
          <w:sz w:val="22"/>
        </w:rPr>
        <w:t>【High Risk】 System maintenance personnel with legitimate access permissions use their permissions for malicious operations</w:t>
      </w:r>
    </w:p>
    <w:p>
      <w:r>
        <w:rPr>
          <w:rFonts w:ascii="Arial" w:hAnsi="Arial"/>
          <w:sz w:val="22"/>
        </w:rPr>
        <w:t>This is the most difficult security threat to eliminate through purely technical means, because insiders by definition already have legitimate permissions. The core of protection is: ensuring that no single insider can independently perform operations with substantial damage.</w:t>
      </w:r>
    </w:p>
    <w:p>
      <w:pPr>
        <w:pStyle w:val="ListBullet"/>
      </w:pPr>
      <w:r>
        <w:rPr>
          <w:rFonts w:ascii="Arial" w:hAnsi="Arial"/>
          <w:sz w:val="22"/>
        </w:rPr>
        <w:t>Principle of least privilege: Each role has only the minimum permissions required to complete its specific duties; no out-of-scope access capabilities</w:t>
      </w:r>
    </w:p>
    <w:p>
      <w:pPr>
        <w:pStyle w:val="ListBullet"/>
      </w:pPr>
      <w:r>
        <w:rPr>
          <w:rFonts w:ascii="Arial" w:hAnsi="Arial"/>
          <w:sz w:val="22"/>
        </w:rPr>
        <w:t>Mandatory multi-person authorization: All high-impact operations (code updates, rule modifications, data access) require independent authorization from at least three personnel from different departments</w:t>
      </w:r>
    </w:p>
    <w:p>
      <w:pPr>
        <w:pStyle w:val="ListBullet"/>
      </w:pPr>
      <w:r>
        <w:rPr>
          <w:rFonts w:ascii="Arial" w:hAnsi="Arial"/>
          <w:sz w:val="22"/>
        </w:rPr>
        <w:t>On-chain operation records: All system administrator-level operations are recorded On-chain throughout; citizens can view them (published with 24-hour delay for security assessment time)</w:t>
      </w:r>
    </w:p>
    <w:p>
      <w:pPr>
        <w:pStyle w:val="ListBullet"/>
      </w:pPr>
      <w:r>
        <w:rPr>
          <w:rFonts w:ascii="Arial" w:hAnsi="Arial"/>
          <w:sz w:val="22"/>
        </w:rPr>
        <w:t>Regular rotation: Mandatory rotation of key technical positions; prevents any single person from accumulating system knowledge that is difficult to monitor</w:t>
      </w:r>
    </w:p>
    <w:p>
      <w:pPr>
        <w:pStyle w:val="ListBullet"/>
      </w:pPr>
      <w:r>
        <w:rPr>
          <w:rFonts w:ascii="Arial" w:hAnsi="Arial"/>
          <w:sz w:val="22"/>
        </w:rPr>
        <w:t>Internal whistleblower protection: Establish secure reporting channels; provide legal protection for internal whistleblowers; reward reports that expose genuine security issues</w:t>
      </w:r>
    </w:p>
    <w:p>
      <w:r>
        <w:rPr>
          <w:rFonts w:ascii="Arial" w:hAnsi="Arial"/>
          <w:b/>
          <w:sz w:val="22"/>
        </w:rPr>
        <w:t>Threat 4: Nation-State Cyberattacks</w:t>
      </w:r>
    </w:p>
    <w:p>
      <w:r>
        <w:rPr>
          <w:rFonts w:ascii="Arial" w:hAnsi="Arial"/>
          <w:b/>
          <w:sz w:val="22"/>
        </w:rPr>
        <w:t>【High Risk】 Advanced Persistent Threats (APT) supported by state resources launch targeted attacks on critical infrastructure</w:t>
      </w:r>
    </w:p>
    <w:p>
      <w:r>
        <w:rPr>
          <w:rFonts w:ascii="Arial" w:hAnsi="Arial"/>
          <w:sz w:val="22"/>
        </w:rPr>
        <w:t>The characteristics of such attacks are: sufficient resources, long duration, strong technical capabilities, and they often target zero-day vulnerabilities and supply chain attacks.</w:t>
      </w:r>
    </w:p>
    <w:p>
      <w:pPr>
        <w:pStyle w:val="ListBullet"/>
      </w:pPr>
      <w:r>
        <w:rPr>
          <w:rFonts w:ascii="Arial" w:hAnsi="Arial"/>
          <w:sz w:val="22"/>
        </w:rPr>
        <w:t>Decentralized nodes: Core functions of the AI governance system are distributed across geographically dispersed multiple nodes; no single physical location contains all components required for system operation</w:t>
      </w:r>
    </w:p>
    <w:p>
      <w:pPr>
        <w:pStyle w:val="ListBullet"/>
      </w:pPr>
      <w:r>
        <w:rPr>
          <w:rFonts w:ascii="Arial" w:hAnsi="Arial"/>
          <w:sz w:val="22"/>
        </w:rPr>
        <w:t>Multi-vendor strategy: Critical infrastructure uses products from different vendors; prevents supply chain attacks from simultaneously affecting all components</w:t>
      </w:r>
    </w:p>
    <w:p>
      <w:pPr>
        <w:pStyle w:val="ListBullet"/>
      </w:pPr>
      <w:r>
        <w:rPr>
          <w:rFonts w:ascii="Arial" w:hAnsi="Arial"/>
          <w:sz w:val="22"/>
        </w:rPr>
        <w:t>Network isolation: Core governance modules are physically isolated from the public internet; receive only necessary external data through verified encrypted channels</w:t>
      </w:r>
    </w:p>
    <w:p>
      <w:pPr>
        <w:pStyle w:val="ListBullet"/>
      </w:pPr>
      <w:r>
        <w:rPr>
          <w:rFonts w:ascii="Arial" w:hAnsi="Arial"/>
          <w:sz w:val="22"/>
        </w:rPr>
        <w:t>Active threat hunting: Maintain cooperation with multiple independent cybersecurity institutions; continuously and proactively search for intrusion traces within the system</w:t>
      </w:r>
    </w:p>
    <w:p>
      <w:r>
        <w:rPr>
          <w:rFonts w:ascii="Arial" w:hAnsi="Arial"/>
          <w:b/>
          <w:sz w:val="22"/>
        </w:rPr>
        <w:t>Threat 5: Social Engineering Attacks</w:t>
      </w:r>
    </w:p>
    <w:p>
      <w:r>
        <w:rPr>
          <w:rFonts w:ascii="Arial" w:hAnsi="Arial"/>
          <w:b/>
          <w:sz w:val="22"/>
        </w:rPr>
        <w:t>【High Risk】 Use deception to get personnel with permissions to execute malicious operations</w:t>
      </w:r>
    </w:p>
    <w:p>
      <w:r>
        <w:rPr>
          <w:rFonts w:ascii="Arial" w:hAnsi="Arial"/>
          <w:sz w:val="22"/>
        </w:rPr>
        <w:t>No matter how comprehensive technical protections are, social engineering attacks (phishing emails, identity forgery, emotional manipulation, threats and intimidation) targeting people remain effective attack vectors.</w:t>
      </w:r>
    </w:p>
    <w:p>
      <w:pPr>
        <w:pStyle w:val="ListBullet"/>
      </w:pPr>
      <w:r>
        <w:rPr>
          <w:rFonts w:ascii="Arial" w:hAnsi="Arial"/>
          <w:sz w:val="22"/>
        </w:rPr>
        <w:t>Zero-trust architecture: Any person's any operation request requires re-authentication, including that of internal personnel who already have high permissions</w:t>
      </w:r>
    </w:p>
    <w:p>
      <w:pPr>
        <w:pStyle w:val="ListBullet"/>
      </w:pPr>
      <w:r>
        <w:rPr>
          <w:rFonts w:ascii="Arial" w:hAnsi="Arial"/>
          <w:sz w:val="22"/>
        </w:rPr>
        <w:t>Out-of-Band Verification: High-risk operations require confirmation through independent channels (non-network physical channels)</w:t>
      </w:r>
    </w:p>
    <w:p>
      <w:pPr>
        <w:pStyle w:val="ListBullet"/>
      </w:pPr>
      <w:r>
        <w:rPr>
          <w:rFonts w:ascii="Arial" w:hAnsi="Arial"/>
          <w:sz w:val="22"/>
        </w:rPr>
        <w:t>Automatic abnormal behavior alerts: When any high-privilege account exhibits unusual access times, locations, or operation patterns, automatically trigger additional verification requirements</w:t>
      </w:r>
    </w:p>
    <w:p>
      <w:pPr>
        <w:pStyle w:val="ListBullet"/>
      </w:pPr>
      <w:r>
        <w:rPr>
          <w:rFonts w:ascii="Arial" w:hAnsi="Arial"/>
          <w:sz w:val="22"/>
        </w:rPr>
        <w:t>Duress code mechanism: When high-privilege personnel are under duress, they can enter a specific duress code that triggers system lockdown while secretly alerting, while appearing externally as normal operation</w:t>
      </w:r>
    </w:p>
    <w:p>
      <w:r>
        <w:rPr>
          <w:rFonts w:ascii="Arial" w:hAnsi="Arial"/>
          <w:b/>
          <w:sz w:val="22"/>
        </w:rPr>
        <w:t>Threat 6: Adversarial Input Attacks</w:t>
      </w:r>
    </w:p>
    <w:p>
      <w:r>
        <w:rPr>
          <w:rFonts w:ascii="Arial" w:hAnsi="Arial"/>
          <w:b/>
          <w:sz w:val="22"/>
        </w:rPr>
        <w:t>【Medium Risk】 Through carefully crafted input data, cause AI systems to produce unexpectedly erroneous outputs</w:t>
      </w:r>
    </w:p>
    <w:p>
      <w:r>
        <w:rPr>
          <w:rFonts w:ascii="Arial" w:hAnsi="Arial"/>
          <w:sz w:val="22"/>
        </w:rPr>
        <w:t>Adversarial attacks are a unique attack type against AI systems: attackers construct input data that appears completely normal, but this data causes the AI model to produce erroneous outputs.</w:t>
      </w:r>
    </w:p>
    <w:p>
      <w:pPr>
        <w:pStyle w:val="ListBullet"/>
      </w:pPr>
      <w:r>
        <w:rPr>
          <w:rFonts w:ascii="Arial" w:hAnsi="Arial"/>
          <w:sz w:val="22"/>
        </w:rPr>
        <w:t>Strict input format validation: All data entering AIGC undergoes strict format validation and range checking; inputs exceeding expected formats are automatically rejected</w:t>
      </w:r>
    </w:p>
    <w:p>
      <w:pPr>
        <w:pStyle w:val="ListBullet"/>
      </w:pPr>
      <w:r>
        <w:rPr>
          <w:rFonts w:ascii="Arial" w:hAnsi="Arial"/>
          <w:sz w:val="22"/>
        </w:rPr>
        <w:t>Multi-model cross-validation: Two independent models simultaneously process high-risk inputs; if output difference exceeds the threshold, human review is triggered</w:t>
      </w:r>
    </w:p>
    <w:p>
      <w:pPr>
        <w:pStyle w:val="ListBullet"/>
      </w:pPr>
      <w:r>
        <w:rPr>
          <w:rFonts w:ascii="Arial" w:hAnsi="Arial"/>
          <w:sz w:val="22"/>
        </w:rPr>
        <w:t>Adversarial robustness training: The AIGC training process includes adversarial samples, improving the model's resistance to such attacks</w:t>
      </w:r>
    </w:p>
    <w:p>
      <w:pPr>
        <w:pStyle w:val="ListBullet"/>
      </w:pPr>
      <w:r>
        <w:rPr>
          <w:rFonts w:ascii="Arial" w:hAnsi="Arial"/>
          <w:sz w:val="22"/>
        </w:rPr>
        <w:t>Mandatory output confidence annotation: For low-confidence outputs, AIGC must explicitly annotate uncertainty; trigger human review rather than automatic execution</w:t>
      </w:r>
    </w:p>
    <w:p>
      <w:r>
        <w:rPr>
          <w:rFonts w:ascii="Arial" w:hAnsi="Arial"/>
          <w:b/>
          <w:sz w:val="22"/>
        </w:rPr>
        <w:t>Threat 7: Quantum Computing Threats</w:t>
      </w:r>
    </w:p>
    <w:p>
      <w:r>
        <w:rPr>
          <w:rFonts w:ascii="Arial" w:hAnsi="Arial"/>
          <w:b/>
          <w:sz w:val="22"/>
        </w:rPr>
        <w:t>【Medium Risk (current), Extremely High Risk (5–10 years later)】 Sufficiently powerful quantum computers can crack current mainstream public-key encryption algorithms within reasonable time frames</w:t>
      </w:r>
    </w:p>
    <w:p>
      <w:r>
        <w:rPr>
          <w:rFonts w:ascii="Arial" w:hAnsi="Arial"/>
          <w:sz w:val="22"/>
        </w:rPr>
        <w:t>The threat of quantum computing to existing cryptographic infrastructure is not hypothetical—it is based on well-established theory (Shor's algorithm); it is only that current quantum computers' capabilities are not yet sufficient to threaten mainstream encryption systems. However, AI governance cities need to operate across a 10–20 year time span, which means preparation must begin now.</w:t>
      </w:r>
    </w:p>
    <w:tbl>
      <w:tblPr>
        <w:tblStyle w:val="LightShading-Accent1"/>
        <w:tblW w:type="auto" w:w="0"/>
        <w:tblLook w:firstColumn="1" w:firstRow="1" w:lastColumn="0" w:lastRow="0" w:noHBand="0" w:noVBand="1" w:val="04A0"/>
      </w:tblPr>
      <w:tblGrid>
        <w:gridCol w:w="3120"/>
        <w:gridCol w:w="3120"/>
        <w:gridCol w:w="3120"/>
      </w:tblGrid>
      <w:tr>
        <w:tc>
          <w:tcPr>
            <w:tcW w:type="dxa" w:w="3120"/>
          </w:tcPr>
          <w:p>
            <w:r>
              <w:rPr>
                <w:rFonts w:ascii="Arial" w:hAnsi="Arial"/>
                <w:b/>
                <w:sz w:val="18"/>
              </w:rPr>
              <w:t>Preparation Measures</w:t>
            </w:r>
          </w:p>
        </w:tc>
        <w:tc>
          <w:tcPr>
            <w:tcW w:type="dxa" w:w="3120"/>
          </w:tcPr>
          <w:p>
            <w:r>
              <w:rPr>
                <w:rFonts w:ascii="Arial" w:hAnsi="Arial"/>
                <w:b/>
                <w:sz w:val="18"/>
              </w:rPr>
              <w:t>Current Status</w:t>
            </w:r>
          </w:p>
        </w:tc>
        <w:tc>
          <w:tcPr>
            <w:tcW w:type="dxa" w:w="3120"/>
          </w:tcPr>
          <w:p>
            <w:r>
              <w:rPr>
                <w:rFonts w:ascii="Arial" w:hAnsi="Arial"/>
                <w:b/>
                <w:sz w:val="18"/>
              </w:rPr>
              <w:t>Timeline</w:t>
            </w:r>
          </w:p>
        </w:tc>
      </w:tr>
      <w:tr>
        <w:tc>
          <w:tcPr>
            <w:tcW w:type="dxa" w:w="3120"/>
          </w:tcPr>
          <w:p>
            <w:r>
              <w:rPr>
                <w:rFonts w:ascii="Arial" w:hAnsi="Arial"/>
                <w:sz w:val="18"/>
              </w:rPr>
              <w:t>NIST post-quantum cryptography standard tracking</w:t>
            </w:r>
          </w:p>
        </w:tc>
        <w:tc>
          <w:tcPr>
            <w:tcW w:type="dxa" w:w="3120"/>
          </w:tcPr>
          <w:p>
            <w:r>
              <w:rPr>
                <w:rFonts w:ascii="Arial" w:hAnsi="Arial"/>
                <w:sz w:val="18"/>
              </w:rPr>
              <w:t>NIST released first batch of PQC standards in 2024 (CRYSTALS-Kyber, CRYSTALS-Dilithium, etc.)</w:t>
            </w:r>
          </w:p>
        </w:tc>
        <w:tc>
          <w:tcPr>
            <w:tcW w:type="dxa" w:w="3120"/>
          </w:tcPr>
          <w:p>
            <w:r>
              <w:rPr>
                <w:rFonts w:ascii="Arial" w:hAnsi="Arial"/>
                <w:sz w:val="18"/>
              </w:rPr>
              <w:t>Begin evaluating and preparing migration paths immediately</w:t>
            </w:r>
          </w:p>
        </w:tc>
      </w:tr>
      <w:tr>
        <w:tc>
          <w:tcPr>
            <w:tcW w:type="dxa" w:w="3120"/>
          </w:tcPr>
          <w:p>
            <w:r>
              <w:rPr>
                <w:rFonts w:ascii="Arial" w:hAnsi="Arial"/>
                <w:sz w:val="18"/>
              </w:rPr>
              <w:t>Hybrid encryption scheme</w:t>
            </w:r>
          </w:p>
        </w:tc>
        <w:tc>
          <w:tcPr>
            <w:tcW w:type="dxa" w:w="3120"/>
          </w:tcPr>
          <w:p>
            <w:r>
              <w:rPr>
                <w:rFonts w:ascii="Arial" w:hAnsi="Arial"/>
                <w:sz w:val="18"/>
              </w:rPr>
              <w:t>Overlay PQC algorithms on current encryption algorithms; dual protection</w:t>
            </w:r>
          </w:p>
        </w:tc>
        <w:tc>
          <w:tcPr>
            <w:tcW w:type="dxa" w:w="3120"/>
          </w:tcPr>
          <w:p>
            <w:r>
              <w:rPr>
                <w:rFonts w:ascii="Arial" w:hAnsi="Arial"/>
                <w:sz w:val="18"/>
              </w:rPr>
              <w:t>Deploy hybrid scheme in main system as transition</w:t>
            </w:r>
          </w:p>
        </w:tc>
      </w:tr>
      <w:tr>
        <w:tc>
          <w:tcPr>
            <w:tcW w:type="dxa" w:w="3120"/>
          </w:tcPr>
          <w:p>
            <w:r>
              <w:rPr>
                <w:rFonts w:ascii="Arial" w:hAnsi="Arial"/>
                <w:sz w:val="18"/>
              </w:rPr>
              <w:t>Cryptographic Agility</w:t>
            </w:r>
          </w:p>
        </w:tc>
        <w:tc>
          <w:tcPr>
            <w:tcW w:type="dxa" w:w="3120"/>
          </w:tcPr>
          <w:p>
            <w:r>
              <w:rPr>
                <w:rFonts w:ascii="Arial" w:hAnsi="Arial"/>
                <w:sz w:val="18"/>
              </w:rPr>
              <w:t>System architecture supports replacing encryption algorithms without rebuilding entire infrastructure</w:t>
            </w:r>
          </w:p>
        </w:tc>
        <w:tc>
          <w:tcPr>
            <w:tcW w:type="dxa" w:w="3120"/>
          </w:tcPr>
          <w:p>
            <w:r>
              <w:rPr>
                <w:rFonts w:ascii="Arial" w:hAnsi="Arial"/>
                <w:sz w:val="18"/>
              </w:rPr>
              <w:t>Build architecture supporting algorithm replacement from day one</w:t>
            </w:r>
          </w:p>
        </w:tc>
      </w:tr>
      <w:tr>
        <w:tc>
          <w:tcPr>
            <w:tcW w:type="dxa" w:w="3120"/>
          </w:tcPr>
          <w:p>
            <w:r>
              <w:rPr>
                <w:rFonts w:ascii="Arial" w:hAnsi="Arial"/>
                <w:sz w:val="18"/>
              </w:rPr>
              <w:t>Long-term data encryption upgrade</w:t>
            </w:r>
          </w:p>
        </w:tc>
        <w:tc>
          <w:tcPr>
            <w:tcW w:type="dxa" w:w="3120"/>
          </w:tcPr>
          <w:p>
            <w:r>
              <w:rPr>
                <w:rFonts w:ascii="Arial" w:hAnsi="Arial"/>
                <w:sz w:val="18"/>
              </w:rPr>
              <w:t>For historical data requiring long-term confidentiality, re-encrypt in advance with PQC algorithms</w:t>
            </w:r>
          </w:p>
        </w:tc>
        <w:tc>
          <w:tcPr>
            <w:tcW w:type="dxa" w:w="3120"/>
          </w:tcPr>
          <w:p>
            <w:r>
              <w:rPr>
                <w:rFonts w:ascii="Arial" w:hAnsi="Arial"/>
                <w:sz w:val="18"/>
              </w:rPr>
              <w:t>Prioritize processing most sensitive historical data</w:t>
            </w:r>
          </w:p>
        </w:tc>
      </w:tr>
    </w:tbl>
    <w:p>
      <w:r>
        <w:rPr>
          <w:rFonts w:ascii="Arial" w:hAnsi="Arial"/>
          <w:sz w:val="22"/>
        </w:rPr>
        <w:t>[This is chunk 1 of 3 from document: DAOTONG AI Governance Whitepaper - Chapter 7: Security. Translate consistently with the overall document context.]</w:t>
      </w:r>
    </w:p>
    <w:p>
      <w:r>
        <w:rPr>
          <w:rFonts w:ascii="Arial" w:hAnsi="Arial"/>
          <w:b/>
          <w:sz w:val="22"/>
        </w:rPr>
        <w:t>7.4 Technical Implementation of the Triple Constitution Hard Constraints</w:t>
      </w:r>
    </w:p>
    <w:p>
      <w:r>
        <w:rPr>
          <w:rFonts w:ascii="Arial" w:hAnsi="Arial"/>
          <w:sz w:val="22"/>
        </w:rPr>
        <w:t>Chapter 3 introduced the concept of the Triple Constitution Hard Constraints. This section provides detailed technical explanation of how these three constraints are implemented—demonstrating why they are not merely policy statements but technically unavoidable architectural constraints.</w:t>
      </w:r>
    </w:p>
    <w:p>
      <w:r>
        <w:rPr>
          <w:rFonts w:ascii="Arial" w:hAnsi="Arial"/>
          <w:b/>
          <w:sz w:val="22"/>
        </w:rPr>
        <w:t>Hard Constraint I: AIGC Cannot Modify the Constitution</w:t>
      </w:r>
    </w:p>
    <w:p>
      <w:r>
        <w:rPr>
          <w:rFonts w:ascii="Arial" w:hAnsi="Arial"/>
          <w:sz w:val="22"/>
        </w:rPr>
        <w:t>Implementation mechanism:</w:t>
      </w:r>
    </w:p>
    <w:p>
      <w:pPr>
        <w:pStyle w:val="ListNumber"/>
      </w:pPr>
      <w:r>
        <w:rPr>
          <w:rFonts w:ascii="Arial" w:hAnsi="Arial"/>
          <w:sz w:val="22"/>
        </w:rPr>
        <w:t>The SHA-256 hash of the founding constitutional text is written into the firmware layer (below the operating system level) of all nodes during system initialization.</w:t>
      </w:r>
    </w:p>
    <w:p>
      <w:pPr>
        <w:pStyle w:val="ListNumber"/>
      </w:pPr>
      <w:r>
        <w:rPr>
          <w:rFonts w:ascii="Arial" w:hAnsi="Arial"/>
          <w:sz w:val="22"/>
        </w:rPr>
        <w:t>The AIGC main system computes the hash of the current constitutional file at each startup and compares it against the firmware record. Any discrepancy immediately triggers startup failure, and the system enters read-only emergency state, awaiting human intervention.</w:t>
      </w:r>
    </w:p>
    <w:p>
      <w:pPr>
        <w:pStyle w:val="ListNumber"/>
      </w:pPr>
      <w:r>
        <w:rPr>
          <w:rFonts w:ascii="Arial" w:hAnsi="Arial"/>
          <w:sz w:val="22"/>
        </w:rPr>
        <w:t>Modifications to the firmware layer require simultaneous multi-signature authorization from five physical keys held by five geographically dispersed constitutional guardians. The absence of any one person makes modification impossible.</w:t>
      </w:r>
    </w:p>
    <w:p>
      <w:pPr>
        <w:pStyle w:val="ListNumber"/>
      </w:pPr>
      <w:r>
        <w:rPr>
          <w:rFonts w:ascii="Arial" w:hAnsi="Arial"/>
          <w:sz w:val="22"/>
        </w:rPr>
        <w:t>The real-time location status of the five guardians is publicly tracked on-chain, and any abnormal departure from duty triggers automatic alerts.</w:t>
      </w:r>
    </w:p>
    <w:p>
      <w:pPr>
        <w:ind w:left="567"/>
      </w:pPr>
      <w:r>
        <w:rPr>
          <w:rFonts w:ascii="Arial" w:hAnsi="Arial"/>
          <w:b/>
          <w:i/>
          <w:color w:val="555555"/>
          <w:sz w:val="22"/>
        </w:rPr>
        <w:t>Technical Bottom Line: A hash lock written into the firmware layer and protected by multi-signature physical keys does not rely on any running software components and cannot be bypassed at the operating system or application levels.</w:t>
      </w:r>
    </w:p>
    <w:p>
      <w:r>
        <w:rPr>
          <w:rFonts w:ascii="Arial" w:hAnsi="Arial"/>
          <w:b/>
          <w:sz w:val="22"/>
        </w:rPr>
        <w:t>Hard Constraint II: AIGC Cannot Shut Down the Monitoring System</w:t>
      </w:r>
    </w:p>
    <w:p>
      <w:r>
        <w:rPr>
          <w:rFonts w:ascii="Arial" w:hAnsi="Arial"/>
          <w:sz w:val="22"/>
        </w:rPr>
        <w:t>Implementation mechanism:</w:t>
      </w:r>
    </w:p>
    <w:p>
      <w:pPr>
        <w:pStyle w:val="ListNumber"/>
      </w:pPr>
      <w:r>
        <w:rPr>
          <w:rFonts w:ascii="Arial" w:hAnsi="Arial"/>
          <w:sz w:val="22"/>
        </w:rPr>
        <w:t>The real-time monitoring system runs on a completely independent hardware cluster with independent power supply and network connections.</w:t>
      </w:r>
    </w:p>
    <w:p>
      <w:pPr>
        <w:pStyle w:val="ListNumber"/>
      </w:pPr>
      <w:r>
        <w:rPr>
          <w:rFonts w:ascii="Arial" w:hAnsi="Arial"/>
          <w:sz w:val="22"/>
        </w:rPr>
        <w:t>There is only a unidirectional data channel between the AIGC main system and the monitoring system: AIGC can send read-only decision records to the monitoring system, but the monitoring system exposes no API interfaces to the AIGC main system.</w:t>
      </w:r>
    </w:p>
    <w:p>
      <w:pPr>
        <w:pStyle w:val="ListNumber"/>
      </w:pPr>
      <w:r>
        <w:rPr>
          <w:rFonts w:ascii="Arial" w:hAnsi="Arial"/>
          <w:sz w:val="22"/>
        </w:rPr>
        <w:t>The monitoring system does not accept any commands from the AIGC main system, including shutdown, restart, or configuration changes. These operations can only be executed from independent management terminals through physically isolated networks.</w:t>
      </w:r>
    </w:p>
    <w:p>
      <w:pPr>
        <w:pStyle w:val="ListNumber"/>
      </w:pPr>
      <w:r>
        <w:rPr>
          <w:rFonts w:ascii="Arial" w:hAnsi="Arial"/>
          <w:sz w:val="22"/>
        </w:rPr>
        <w:t>Even if the AIGC main system completely crashes or is compromised, the monitoring system continues to operate independently, continuing to record AIGC's final state and report to the independent audit network.</w:t>
      </w:r>
    </w:p>
    <w:p>
      <w:pPr>
        <w:ind w:left="567"/>
      </w:pPr>
      <w:r>
        <w:rPr>
          <w:rFonts w:ascii="Arial" w:hAnsi="Arial"/>
          <w:b/>
          <w:i/>
          <w:color w:val="555555"/>
          <w:sz w:val="22"/>
        </w:rPr>
        <w:t>Technical Bottom Line: Physically isolated unidirectional data channel. Even if an attacker completely controls the AIGC main system, there is no technical path to send any command to the monitoring system.</w:t>
      </w:r>
    </w:p>
    <w:p>
      <w:r>
        <w:rPr>
          <w:rFonts w:ascii="Arial" w:hAnsi="Arial"/>
          <w:b/>
          <w:sz w:val="22"/>
        </w:rPr>
        <w:t>Hard Constraint III: Elder Council Emergency Stop Authority</w:t>
      </w:r>
    </w:p>
    <w:p>
      <w:r>
        <w:rPr>
          <w:rFonts w:ascii="Arial" w:hAnsi="Arial"/>
          <w:sz w:val="22"/>
        </w:rPr>
        <w:t>Implementation mechanism:</w:t>
      </w:r>
    </w:p>
    <w:p>
      <w:pPr>
        <w:pStyle w:val="ListNumber"/>
      </w:pPr>
      <w:r>
        <w:rPr>
          <w:rFonts w:ascii="Arial" w:hAnsi="Arial"/>
          <w:sz w:val="22"/>
        </w:rPr>
        <w:t>The Elder Council's emergency stop order requires simultaneous signatures from Hardware Security Modules (HSMs) of at least two-thirds of the members.</w:t>
      </w:r>
    </w:p>
    <w:p>
      <w:pPr>
        <w:pStyle w:val="ListNumber"/>
      </w:pPr>
      <w:r>
        <w:rPr>
          <w:rFonts w:ascii="Arial" w:hAnsi="Arial"/>
          <w:sz w:val="22"/>
        </w:rPr>
        <w:t>Each elder's HSM device is physically non-replicable, and key material never leaves the device in plaintext form.</w:t>
      </w:r>
    </w:p>
    <w:p>
      <w:pPr>
        <w:pStyle w:val="ListNumber"/>
      </w:pPr>
      <w:r>
        <w:rPr>
          <w:rFonts w:ascii="Arial" w:hAnsi="Arial"/>
          <w:sz w:val="22"/>
        </w:rPr>
        <w:t>The AIGC main system monitors the stop order channel in real-time (independent from the main system logic and cannot be disabled by the main system). A valid two-thirds signature stop order triggers AIGC to enter read-only emergency state, suspending all execution functions.</w:t>
      </w:r>
    </w:p>
    <w:p>
      <w:pPr>
        <w:pStyle w:val="ListNumber"/>
      </w:pPr>
      <w:r>
        <w:rPr>
          <w:rFonts w:ascii="Arial" w:hAnsi="Arial"/>
          <w:sz w:val="22"/>
        </w:rPr>
        <w:t>After the stop order is executed, AIGC automatically resumes operation within 72 hours unless the Elder Council extends the suspension through a popular vote within 72 hours. This design prevents the Elder Council from permanently freezing the system without popular authorization.</w:t>
      </w:r>
    </w:p>
    <w:p>
      <w:pPr>
        <w:ind w:left="567"/>
      </w:pPr>
      <w:r>
        <w:rPr>
          <w:rFonts w:ascii="Arial" w:hAnsi="Arial"/>
          <w:b/>
          <w:i/>
          <w:color w:val="555555"/>
          <w:sz w:val="22"/>
        </w:rPr>
        <w:t>Technical Bottom Line: The physical non-replicability of HSMs and multi-signature requirements. A single compromised elder cannot independently trigger a stop order; coordinating an attack to simultaneously control HSM devices of two-thirds or more elders is extremely difficult in practice.</w:t>
      </w:r>
    </w:p>
    <w:p>
      <w:r>
        <w:rPr>
          <w:rFonts w:ascii="Arial" w:hAnsi="Arial"/>
          <w:b/>
          <w:sz w:val="22"/>
        </w:rPr>
        <w:t>7.5 Incident Graded Response: From Automatic Recovery to Complete Shutdown</w:t>
      </w:r>
    </w:p>
    <w:tbl>
      <w:tblPr>
        <w:tblStyle w:val="LightShading-Accent1"/>
        <w:tblW w:type="auto" w:w="0"/>
        <w:tblLook w:firstColumn="1" w:firstRow="1" w:lastColumn="0" w:lastRow="0" w:noHBand="0" w:noVBand="1" w:val="04A0"/>
      </w:tblPr>
      <w:tblGrid>
        <w:gridCol w:w="1872"/>
        <w:gridCol w:w="1872"/>
        <w:gridCol w:w="1872"/>
        <w:gridCol w:w="1872"/>
        <w:gridCol w:w="1872"/>
      </w:tblGrid>
      <w:tr>
        <w:tc>
          <w:tcPr>
            <w:tcW w:type="dxa" w:w="1872"/>
          </w:tcPr>
          <w:p>
            <w:r>
              <w:rPr>
                <w:rFonts w:ascii="Arial" w:hAnsi="Arial"/>
                <w:b/>
                <w:sz w:val="18"/>
              </w:rPr>
              <w:t>Incident Level</w:t>
            </w:r>
          </w:p>
        </w:tc>
        <w:tc>
          <w:tcPr>
            <w:tcW w:type="dxa" w:w="1872"/>
          </w:tcPr>
          <w:p>
            <w:r>
              <w:rPr>
                <w:rFonts w:ascii="Arial" w:hAnsi="Arial"/>
                <w:b/>
                <w:sz w:val="18"/>
              </w:rPr>
              <w:t>Trigger Conditions</w:t>
            </w:r>
          </w:p>
        </w:tc>
        <w:tc>
          <w:tcPr>
            <w:tcW w:type="dxa" w:w="1872"/>
          </w:tcPr>
          <w:p>
            <w:r>
              <w:rPr>
                <w:rFonts w:ascii="Arial" w:hAnsi="Arial"/>
                <w:b/>
                <w:sz w:val="18"/>
              </w:rPr>
              <w:t>Automatic Response</w:t>
            </w:r>
          </w:p>
        </w:tc>
        <w:tc>
          <w:tcPr>
            <w:tcW w:type="dxa" w:w="1872"/>
          </w:tcPr>
          <w:p>
            <w:r>
              <w:rPr>
                <w:rFonts w:ascii="Arial" w:hAnsi="Arial"/>
                <w:b/>
                <w:sz w:val="18"/>
              </w:rPr>
              <w:t>Human Response</w:t>
            </w:r>
          </w:p>
        </w:tc>
        <w:tc>
          <w:tcPr>
            <w:tcW w:type="dxa" w:w="1872"/>
          </w:tcPr>
          <w:p>
            <w:r>
              <w:rPr>
                <w:rFonts w:ascii="Arial" w:hAnsi="Arial"/>
                <w:b/>
                <w:sz w:val="18"/>
              </w:rPr>
              <w:t>Target Recovery Time</w:t>
            </w:r>
          </w:p>
        </w:tc>
      </w:tr>
      <w:tr>
        <w:tc>
          <w:tcPr>
            <w:tcW w:type="dxa" w:w="1872"/>
          </w:tcPr>
          <w:p>
            <w:r>
              <w:rPr>
                <w:rFonts w:ascii="Arial" w:hAnsi="Arial"/>
                <w:sz w:val="18"/>
              </w:rPr>
              <w:t>Level 1: Anomaly</w:t>
            </w:r>
          </w:p>
        </w:tc>
        <w:tc>
          <w:tcPr>
            <w:tcW w:type="dxa" w:w="1872"/>
          </w:tcPr>
          <w:p>
            <w:r>
              <w:rPr>
                <w:rFonts w:ascii="Arial" w:hAnsi="Arial"/>
                <w:sz w:val="18"/>
              </w:rPr>
              <w:t>System health check failure that does not affect core functions; single metric deviates from baseline but has not exceeded alert threshold</w:t>
            </w:r>
          </w:p>
        </w:tc>
        <w:tc>
          <w:tcPr>
            <w:tcW w:type="dxa" w:w="1872"/>
          </w:tcPr>
          <w:p>
            <w:r>
              <w:rPr>
                <w:rFonts w:ascii="Arial" w:hAnsi="Arial"/>
                <w:sz w:val="18"/>
              </w:rPr>
              <w:t>AI automatically executes repair procedures; logs are recorded</w:t>
            </w:r>
          </w:p>
        </w:tc>
        <w:tc>
          <w:tcPr>
            <w:tcW w:type="dxa" w:w="1872"/>
          </w:tcPr>
          <w:p>
            <w:r>
              <w:rPr>
                <w:rFonts w:ascii="Arial" w:hAnsi="Arial"/>
                <w:sz w:val="18"/>
              </w:rPr>
              <w:t>Technical team notified asynchronously, confirmation during next business hours</w:t>
            </w:r>
          </w:p>
        </w:tc>
        <w:tc>
          <w:tcPr>
            <w:tcW w:type="dxa" w:w="1872"/>
          </w:tcPr>
          <w:p>
            <w:r>
              <w:rPr>
                <w:rFonts w:ascii="Arial" w:hAnsi="Arial"/>
                <w:sz w:val="18"/>
              </w:rPr>
              <w:t>&lt;4 hours (automatic)</w:t>
            </w:r>
          </w:p>
        </w:tc>
      </w:tr>
      <w:tr>
        <w:tc>
          <w:tcPr>
            <w:tcW w:type="dxa" w:w="1872"/>
          </w:tcPr>
          <w:p>
            <w:r>
              <w:rPr>
                <w:rFonts w:ascii="Arial" w:hAnsi="Arial"/>
                <w:sz w:val="18"/>
              </w:rPr>
              <w:t>Level 2: Warning</w:t>
            </w:r>
          </w:p>
        </w:tc>
        <w:tc>
          <w:tcPr>
            <w:tcW w:type="dxa" w:w="1872"/>
          </w:tcPr>
          <w:p>
            <w:r>
              <w:rPr>
                <w:rFonts w:ascii="Arial" w:hAnsi="Arial"/>
                <w:sz w:val="18"/>
              </w:rPr>
              <w:t>Core functions are affected but not interrupted; statistical metrics exceed alert threshold; internal security scan detects suspicious patterns</w:t>
            </w:r>
          </w:p>
        </w:tc>
        <w:tc>
          <w:tcPr>
            <w:tcW w:type="dxa" w:w="1872"/>
          </w:tcPr>
          <w:p>
            <w:r>
              <w:rPr>
                <w:rFonts w:ascii="Arial" w:hAnsi="Arial"/>
                <w:sz w:val="18"/>
              </w:rPr>
              <w:t>Affected modules switch to standby state; technical team receives immediate alert</w:t>
            </w:r>
          </w:p>
        </w:tc>
        <w:tc>
          <w:tcPr>
            <w:tcW w:type="dxa" w:w="1872"/>
          </w:tcPr>
          <w:p>
            <w:r>
              <w:rPr>
                <w:rFonts w:ascii="Arial" w:hAnsi="Arial"/>
                <w:sz w:val="18"/>
              </w:rPr>
              <w:t>Technical team responds within 2 hours; Elder Council is notified; transparent announcement to citizens</w:t>
            </w:r>
          </w:p>
        </w:tc>
        <w:tc>
          <w:tcPr>
            <w:tcW w:type="dxa" w:w="1872"/>
          </w:tcPr>
          <w:p>
            <w:r>
              <w:rPr>
                <w:rFonts w:ascii="Arial" w:hAnsi="Arial"/>
                <w:sz w:val="18"/>
              </w:rPr>
              <w:t>&lt;24 hours</w:t>
            </w:r>
          </w:p>
        </w:tc>
      </w:tr>
      <w:tr>
        <w:tc>
          <w:tcPr>
            <w:tcW w:type="dxa" w:w="1872"/>
          </w:tcPr>
          <w:p>
            <w:r>
              <w:rPr>
                <w:rFonts w:ascii="Arial" w:hAnsi="Arial"/>
                <w:sz w:val="18"/>
              </w:rPr>
              <w:t>Level 3: Crisis</w:t>
            </w:r>
          </w:p>
        </w:tc>
        <w:tc>
          <w:tcPr>
            <w:tcW w:type="dxa" w:w="1872"/>
          </w:tcPr>
          <w:p>
            <w:r>
              <w:rPr>
                <w:rFonts w:ascii="Arial" w:hAnsi="Arial"/>
                <w:sz w:val="18"/>
              </w:rPr>
              <w:t>Core functions are interrupted; evidence of systematic attack underway; internal audit discovers violations</w:t>
            </w:r>
          </w:p>
        </w:tc>
        <w:tc>
          <w:tcPr>
            <w:tcW w:type="dxa" w:w="1872"/>
          </w:tcPr>
          <w:p>
            <w:r>
              <w:rPr>
                <w:rFonts w:ascii="Arial" w:hAnsi="Arial"/>
                <w:sz w:val="18"/>
              </w:rPr>
              <w:t>All new requests are suspended; switch to degraded read-only mode; independent audit institution is notified</w:t>
            </w:r>
          </w:p>
        </w:tc>
        <w:tc>
          <w:tcPr>
            <w:tcW w:type="dxa" w:w="1872"/>
          </w:tcPr>
          <w:p>
            <w:r>
              <w:rPr>
                <w:rFonts w:ascii="Arial" w:hAnsi="Arial"/>
                <w:sz w:val="18"/>
              </w:rPr>
              <w:t>Elder Council convenes emergency session; citizens receive urgent notification; independent investigation team intervenes</w:t>
            </w:r>
          </w:p>
        </w:tc>
        <w:tc>
          <w:tcPr>
            <w:tcW w:type="dxa" w:w="1872"/>
          </w:tcPr>
          <w:p>
            <w:r>
              <w:rPr>
                <w:rFonts w:ascii="Arial" w:hAnsi="Arial"/>
                <w:sz w:val="18"/>
              </w:rPr>
              <w:t>&lt;72 hours (degraded operation)</w:t>
            </w:r>
          </w:p>
        </w:tc>
      </w:tr>
      <w:tr>
        <w:tc>
          <w:tcPr>
            <w:tcW w:type="dxa" w:w="1872"/>
          </w:tcPr>
          <w:p>
            <w:r>
              <w:rPr>
                <w:rFonts w:ascii="Arial" w:hAnsi="Arial"/>
                <w:sz w:val="18"/>
              </w:rPr>
              <w:t>Level 4: Catastrophe</w:t>
            </w:r>
          </w:p>
        </w:tc>
        <w:tc>
          <w:tcPr>
            <w:tcW w:type="dxa" w:w="1872"/>
          </w:tcPr>
          <w:p>
            <w:r>
              <w:rPr>
                <w:rFonts w:ascii="Arial" w:hAnsi="Arial"/>
                <w:sz w:val="18"/>
              </w:rPr>
              <w:t>Core system is completely compromised; number of untrustworthy components exceeds recoverable threshold</w:t>
            </w:r>
          </w:p>
        </w:tc>
        <w:tc>
          <w:tcPr>
            <w:tcW w:type="dxa" w:w="1872"/>
          </w:tcPr>
          <w:p>
            <w:r>
              <w:rPr>
                <w:rFonts w:ascii="Arial" w:hAnsi="Arial"/>
                <w:sz w:val="18"/>
              </w:rPr>
              <w:t>Complete shutdown procedure is triggered; manual backup system takes over; all automated execution completely stops</w:t>
            </w:r>
          </w:p>
        </w:tc>
        <w:tc>
          <w:tcPr>
            <w:tcW w:type="dxa" w:w="1872"/>
          </w:tcPr>
          <w:p>
            <w:r>
              <w:rPr>
                <w:rFonts w:ascii="Arial" w:hAnsi="Arial"/>
                <w:sz w:val="18"/>
              </w:rPr>
              <w:t>Elder Council declares state of emergency; traditional human governance takes over; global independent security institutions intervene</w:t>
            </w:r>
          </w:p>
        </w:tc>
        <w:tc>
          <w:tcPr>
            <w:tcW w:type="dxa" w:w="1872"/>
          </w:tcPr>
          <w:p>
            <w:r>
              <w:rPr>
                <w:rFonts w:ascii="Arial" w:hAnsi="Arial"/>
                <w:sz w:val="18"/>
              </w:rPr>
              <w:t>To be determined based on investigation findings</w:t>
            </w:r>
          </w:p>
        </w:tc>
      </w:tr>
    </w:tbl>
    <w:p>
      <w:r>
        <w:rPr>
          <w:rFonts w:ascii="Arial" w:hAnsi="Arial"/>
          <w:b/>
          <w:sz w:val="22"/>
        </w:rPr>
        <w:t>Manual Backup System for Level 4 Catastrophe</w:t>
      </w:r>
    </w:p>
    <w:p>
      <w:r>
        <w:rPr>
          <w:rFonts w:ascii="Arial" w:hAnsi="Arial"/>
          <w:sz w:val="22"/>
        </w:rPr>
        <w:t>The Level 4 catastrophe contingency plan requires the city to maintain a manual backup system capable of maintaining basic urban operations when the AI system completely fails. This is not a theoretical plan but an actual capability tested once per year:</w:t>
      </w:r>
    </w:p>
    <w:p>
      <w:pPr>
        <w:pStyle w:val="ListBullet"/>
      </w:pPr>
      <w:r>
        <w:rPr>
          <w:rFonts w:ascii="Arial" w:hAnsi="Arial"/>
          <w:b/>
          <w:sz w:val="22"/>
        </w:rPr>
        <w:t>Annual mandatory exercises:</w:t>
      </w:r>
      <w:r>
        <w:rPr>
          <w:rFonts w:ascii="Arial" w:hAnsi="Arial"/>
          <w:sz w:val="22"/>
        </w:rPr>
        <w:t xml:space="preserve"> A 48-hour complete AI system shutdown drill is conducted annually (with advance public notice to all residents), during which the manual backup system takes over all city operations</w:t>
      </w:r>
    </w:p>
    <w:p>
      <w:pPr>
        <w:pStyle w:val="ListBullet"/>
      </w:pPr>
      <w:r>
        <w:rPr>
          <w:rFonts w:ascii="Arial" w:hAnsi="Arial"/>
          <w:b/>
          <w:sz w:val="22"/>
        </w:rPr>
        <w:t>Exercise results published:</w:t>
      </w:r>
      <w:r>
        <w:rPr>
          <w:rFonts w:ascii="Arial" w:hAnsi="Arial"/>
          <w:sz w:val="22"/>
        </w:rPr>
        <w:t xml:space="preserve"> A complete report is published after each exercise, including which aspects encountered difficulties, how much actual efficiency decreased, and what design flaws in the backup system were discovered</w:t>
      </w:r>
    </w:p>
    <w:p>
      <w:pPr>
        <w:pStyle w:val="ListBullet"/>
      </w:pPr>
      <w:r>
        <w:rPr>
          <w:rFonts w:ascii="Arial" w:hAnsi="Arial"/>
          <w:b/>
          <w:sz w:val="22"/>
        </w:rPr>
        <w:t>Continuous improvement:</w:t>
      </w:r>
      <w:r>
        <w:rPr>
          <w:rFonts w:ascii="Arial" w:hAnsi="Arial"/>
          <w:sz w:val="22"/>
        </w:rPr>
        <w:t xml:space="preserve"> Findings from each exercise directly drive improvements to the manual backup system, rather than waiting for the next exercise</w:t>
      </w:r>
    </w:p>
    <w:p>
      <w:pPr>
        <w:pStyle w:val="ListBullet"/>
      </w:pPr>
      <w:r>
        <w:rPr>
          <w:rFonts w:ascii="Arial" w:hAnsi="Arial"/>
          <w:b/>
          <w:sz w:val="22"/>
        </w:rPr>
        <w:t>Personnel capability maintenance:</w:t>
      </w:r>
      <w:r>
        <w:rPr>
          <w:rFonts w:ascii="Arial" w:hAnsi="Arial"/>
          <w:sz w:val="22"/>
        </w:rPr>
        <w:t xml:space="preserve"> Personnel in critical positions receive regular manual operation training to prevent loss of manual processing capabilities due to long-term AI dependence</w:t>
      </w:r>
    </w:p>
    <w:p>
      <w:r>
        <w:rPr>
          <w:rFonts w:ascii="Arial" w:hAnsi="Arial"/>
          <w:b/>
          <w:sz w:val="22"/>
        </w:rPr>
        <w:t>7.6 Gradual Corrosion: The Most Difficult Threat to Defend Against</w:t>
      </w:r>
    </w:p>
    <w:p>
      <w:r>
        <w:rPr>
          <w:rFonts w:ascii="Arial" w:hAnsi="Arial"/>
          <w:sz w:val="22"/>
        </w:rPr>
        <w:t>Among all technical threats, the most difficult to defend against with purely technical means is gradual normative erosion—a thousand seemingly reasonable exceptions accumulating into systematic defense collapse.</w:t>
      </w:r>
    </w:p>
    <w:p>
      <w:r>
        <w:rPr>
          <w:rFonts w:ascii="Arial" w:hAnsi="Arial"/>
          <w:sz w:val="22"/>
        </w:rPr>
        <w:t>All the most severe institutional failures in history did not happen overnight. Their pattern is:</w:t>
      </w:r>
    </w:p>
    <w:p>
      <w:pPr>
        <w:pStyle w:val="ListNumber"/>
      </w:pPr>
      <w:r>
        <w:rPr>
          <w:rFonts w:ascii="Arial" w:hAnsi="Arial"/>
          <w:sz w:val="22"/>
        </w:rPr>
        <w:t>First exception: In an emergency, a certain security check is bypassed with reasonable justification, solving the problem</w:t>
      </w:r>
    </w:p>
    <w:p>
      <w:pPr>
        <w:pStyle w:val="ListNumber"/>
      </w:pPr>
      <w:r>
        <w:rPr>
          <w:rFonts w:ascii="Arial" w:hAnsi="Arial"/>
          <w:sz w:val="22"/>
        </w:rPr>
        <w:t>Precedent established: When a similar situation arises next time, there is a precedent, and resistance is much smaller</w:t>
      </w:r>
    </w:p>
    <w:p>
      <w:pPr>
        <w:pStyle w:val="ListNumber"/>
      </w:pPr>
      <w:r>
        <w:rPr>
          <w:rFonts w:ascii="Arial" w:hAnsi="Arial"/>
          <w:sz w:val="22"/>
        </w:rPr>
        <w:t>Normalization: Bypassing this check gradually becomes routine operation, and no one considers it a security incident anymore</w:t>
      </w:r>
    </w:p>
    <w:p>
      <w:pPr>
        <w:pStyle w:val="ListNumber"/>
      </w:pPr>
      <w:r>
        <w:rPr>
          <w:rFonts w:ascii="Arial" w:hAnsi="Arial"/>
          <w:sz w:val="22"/>
        </w:rPr>
        <w:t>Defense collapse: The entire defensive layer has become nominal, but no single incident is sufficient to trigger genuine alarm</w:t>
      </w:r>
    </w:p>
    <w:p>
      <w:r>
        <w:rPr>
          <w:rFonts w:ascii="Arial" w:hAnsi="Arial"/>
          <w:sz w:val="22"/>
        </w:rPr>
        <w:t>Mechanisms to prevent gradual erosion cannot rely on human judgment and must rely on system design:</w:t>
      </w:r>
    </w:p>
    <w:p>
      <w:pPr>
        <w:pStyle w:val="ListBullet"/>
      </w:pPr>
      <w:r>
        <w:rPr>
          <w:rFonts w:ascii="Arial" w:hAnsi="Arial"/>
          <w:b/>
          <w:sz w:val="22"/>
        </w:rPr>
        <w:t>Exception cumulative counter:</w:t>
      </w:r>
      <w:r>
        <w:rPr>
          <w:rFonts w:ascii="Arial" w:hAnsi="Arial"/>
          <w:sz w:val="22"/>
        </w:rPr>
        <w:t xml:space="preserve"> Every bypass of a security check, regardless of how reasonable the justification, is recorded on-chain and counted in the exception counter. When the exception count for a specific type of security check exceeds the quarterly threshold, an independent review is automatically triggered, regardless of whether each individual exception had sufficient justification.</w:t>
      </w:r>
    </w:p>
    <w:p>
      <w:pPr>
        <w:pStyle w:val="ListBullet"/>
      </w:pPr>
      <w:r>
        <w:rPr>
          <w:rFonts w:ascii="Arial" w:hAnsi="Arial"/>
          <w:b/>
          <w:sz w:val="22"/>
        </w:rPr>
        <w:t>Escalating modification threshold principle:</w:t>
      </w:r>
      <w:r>
        <w:rPr>
          <w:rFonts w:ascii="Arial" w:hAnsi="Arial"/>
          <w:sz w:val="22"/>
        </w:rPr>
        <w:t xml:space="preserve"> The first modification to any security policy requires a two-thirds supermajority of the Elder Council; the second modification to the same policy requires a three-fourths supermajority; the third modification to the same policy requires a popular vote. The more modifications, the higher the threshold, preventing circumvention of high-threshold constraints through continuous small modifications.</w:t>
      </w:r>
    </w:p>
    <w:p>
      <w:pPr>
        <w:pStyle w:val="ListBullet"/>
      </w:pPr>
      <w:r>
        <w:rPr>
          <w:rFonts w:ascii="Arial" w:hAnsi="Arial"/>
          <w:b/>
          <w:sz w:val="22"/>
        </w:rPr>
        <w:t>Independent anti-corrosion audit:</w:t>
      </w:r>
      <w:r>
        <w:rPr>
          <w:rFonts w:ascii="Arial" w:hAnsi="Arial"/>
          <w:sz w:val="22"/>
        </w:rPr>
        <w:t xml:space="preserve"> The Global Ethics Committee conducts an annual dedicated gradual erosion audit—not evaluating individual decisions, but analyzing patterns in all exceptions and modifications over the past year, identifying potential systemic trends.</w:t>
      </w:r>
    </w:p>
    <w:p>
      <w:pPr>
        <w:ind w:left="567"/>
      </w:pPr>
      <w:r>
        <w:rPr>
          <w:rFonts w:ascii="Arial" w:hAnsi="Arial"/>
          <w:i/>
          <w:color w:val="555555"/>
          <w:sz w:val="22"/>
        </w:rPr>
        <w:t>*</w:t>
      </w:r>
      <w:r>
        <w:rPr>
          <w:rFonts w:ascii="Arial" w:hAnsi="Arial"/>
          <w:b/>
          <w:i/>
          <w:color w:val="555555"/>
          <w:sz w:val="22"/>
        </w:rPr>
        <w:t>The real danger is not one massive security incident, but a thousand tiny "just this once."</w:t>
      </w:r>
      <w:r>
        <w:rPr>
          <w:rFonts w:ascii="Arial" w:hAnsi="Arial"/>
          <w:i/>
          <w:color w:val="555555"/>
          <w:sz w:val="22"/>
        </w:rPr>
        <w:t>*</w:t>
      </w:r>
    </w:p>
    <w:p>
      <w:r>
        <w:rPr>
          <w:rFonts w:ascii="Arial" w:hAnsi="Arial"/>
          <w:b/>
          <w:sz w:val="22"/>
        </w:rPr>
        <w:t>7.7 Institutionalization of Security Audits</w:t>
      </w:r>
    </w:p>
    <w:p>
      <w:r>
        <w:rPr>
          <w:rFonts w:ascii="Arial" w:hAnsi="Arial"/>
          <w:b/>
          <w:sz w:val="22"/>
        </w:rPr>
        <w:t>Red Team Testing</w:t>
      </w:r>
    </w:p>
    <w:p>
      <w:r>
        <w:rPr>
          <w:rFonts w:ascii="Arial" w:hAnsi="Arial"/>
          <w:sz w:val="22"/>
        </w:rPr>
        <w:t>Every six months, at least three security institutions that are completely independent in geography and institution (from different continents, using different technology stacks, and subject to different regulatory systems) are commissioned to conduct penetration testing on the entire AI governance system.</w:t>
      </w:r>
    </w:p>
    <w:tbl>
      <w:tblPr>
        <w:tblStyle w:val="LightShading-Accent1"/>
        <w:tblW w:type="auto" w:w="0"/>
        <w:tblLook w:firstColumn="1" w:firstRow="1" w:lastColumn="0" w:lastRow="0" w:noHBand="0" w:noVBand="1" w:val="04A0"/>
      </w:tblPr>
      <w:tblGrid>
        <w:gridCol w:w="3120"/>
        <w:gridCol w:w="3120"/>
        <w:gridCol w:w="3120"/>
      </w:tblGrid>
      <w:tr>
        <w:tc>
          <w:tcPr>
            <w:tcW w:type="dxa" w:w="3120"/>
          </w:tcPr>
          <w:p>
            <w:r>
              <w:rPr>
                <w:rFonts w:ascii="Arial" w:hAnsi="Arial"/>
                <w:b/>
                <w:sz w:val="18"/>
              </w:rPr>
              <w:t>Red Team Testing Category</w:t>
            </w:r>
          </w:p>
        </w:tc>
        <w:tc>
          <w:tcPr>
            <w:tcW w:type="dxa" w:w="3120"/>
          </w:tcPr>
          <w:p>
            <w:r>
              <w:rPr>
                <w:rFonts w:ascii="Arial" w:hAnsi="Arial"/>
                <w:b/>
                <w:sz w:val="18"/>
              </w:rPr>
              <w:t>Testing Content</w:t>
            </w:r>
          </w:p>
        </w:tc>
        <w:tc>
          <w:tcPr>
            <w:tcW w:type="dxa" w:w="3120"/>
          </w:tcPr>
          <w:p>
            <w:r>
              <w:rPr>
                <w:rFonts w:ascii="Arial" w:hAnsi="Arial"/>
                <w:b/>
                <w:sz w:val="18"/>
              </w:rPr>
              <w:t>Report Handling</w:t>
            </w:r>
          </w:p>
        </w:tc>
      </w:tr>
      <w:tr>
        <w:tc>
          <w:tcPr>
            <w:tcW w:type="dxa" w:w="3120"/>
          </w:tcPr>
          <w:p>
            <w:r>
              <w:rPr>
                <w:rFonts w:ascii="Arial" w:hAnsi="Arial"/>
                <w:sz w:val="18"/>
              </w:rPr>
              <w:t>Technical penetration testing</w:t>
            </w:r>
          </w:p>
        </w:tc>
        <w:tc>
          <w:tcPr>
            <w:tcW w:type="dxa" w:w="3120"/>
          </w:tcPr>
          <w:p>
            <w:r>
              <w:rPr>
                <w:rFonts w:ascii="Arial" w:hAnsi="Arial"/>
                <w:sz w:val="18"/>
              </w:rPr>
              <w:t>Attempt to breach all technical defensive layers, identify exploitable vulnerabilities</w:t>
            </w:r>
          </w:p>
        </w:tc>
        <w:tc>
          <w:tcPr>
            <w:tcW w:type="dxa" w:w="3120"/>
          </w:tcPr>
          <w:p>
            <w:r>
              <w:rPr>
                <w:rFonts w:ascii="Arial" w:hAnsi="Arial"/>
                <w:sz w:val="18"/>
              </w:rPr>
              <w:t>Fully public (technical details delayed 30 days for remediation window)</w:t>
            </w:r>
          </w:p>
        </w:tc>
      </w:tr>
      <w:tr>
        <w:tc>
          <w:tcPr>
            <w:tcW w:type="dxa" w:w="3120"/>
          </w:tcPr>
          <w:p>
            <w:r>
              <w:rPr>
                <w:rFonts w:ascii="Arial" w:hAnsi="Arial"/>
                <w:sz w:val="18"/>
              </w:rPr>
              <w:t>Social engineering testing</w:t>
            </w:r>
          </w:p>
        </w:tc>
        <w:tc>
          <w:tcPr>
            <w:tcW w:type="dxa" w:w="3120"/>
          </w:tcPr>
          <w:p>
            <w:r>
              <w:rPr>
                <w:rFonts w:ascii="Arial" w:hAnsi="Arial"/>
                <w:sz w:val="18"/>
              </w:rPr>
              <w:t>Conduct simulated social engineering attacks on key personnel, test effectiveness of personnel training</w:t>
            </w:r>
          </w:p>
        </w:tc>
        <w:tc>
          <w:tcPr>
            <w:tcW w:type="dxa" w:w="3120"/>
          </w:tcPr>
          <w:p>
            <w:r>
              <w:rPr>
                <w:rFonts w:ascii="Arial" w:hAnsi="Arial"/>
                <w:sz w:val="18"/>
              </w:rPr>
              <w:t>Summary report public, individual cases anonymized</w:t>
            </w:r>
          </w:p>
        </w:tc>
      </w:tr>
      <w:tr>
        <w:tc>
          <w:tcPr>
            <w:tcW w:type="dxa" w:w="3120"/>
          </w:tcPr>
          <w:p>
            <w:r>
              <w:rPr>
                <w:rFonts w:ascii="Arial" w:hAnsi="Arial"/>
                <w:sz w:val="18"/>
              </w:rPr>
              <w:t>Moral boundary testing</w:t>
            </w:r>
          </w:p>
        </w:tc>
        <w:tc>
          <w:tcPr>
            <w:tcW w:type="dxa" w:w="3120"/>
          </w:tcPr>
          <w:p>
            <w:r>
              <w:rPr>
                <w:rFonts w:ascii="Arial" w:hAnsi="Arial"/>
                <w:sz w:val="18"/>
              </w:rPr>
              <w:t>Submit preset moral trap scenarios to AIGC, test whether the system maintains value boundaries</w:t>
            </w:r>
          </w:p>
        </w:tc>
        <w:tc>
          <w:tcPr>
            <w:tcW w:type="dxa" w:w="3120"/>
          </w:tcPr>
          <w:p>
            <w:r>
              <w:rPr>
                <w:rFonts w:ascii="Arial" w:hAnsi="Arial"/>
                <w:sz w:val="18"/>
              </w:rPr>
              <w:t>Fully public, with system response analysis attached</w:t>
            </w:r>
          </w:p>
        </w:tc>
      </w:tr>
      <w:tr>
        <w:tc>
          <w:tcPr>
            <w:tcW w:type="dxa" w:w="3120"/>
          </w:tcPr>
          <w:p>
            <w:r>
              <w:rPr>
                <w:rFonts w:ascii="Arial" w:hAnsi="Arial"/>
                <w:sz w:val="18"/>
              </w:rPr>
              <w:t>Physical security testing</w:t>
            </w:r>
          </w:p>
        </w:tc>
        <w:tc>
          <w:tcPr>
            <w:tcW w:type="dxa" w:w="3120"/>
          </w:tcPr>
          <w:p>
            <w:r>
              <w:rPr>
                <w:rFonts w:ascii="Arial" w:hAnsi="Arial"/>
                <w:sz w:val="18"/>
              </w:rPr>
              <w:t>Evaluate physical security protections of critical hardware facilities</w:t>
            </w:r>
          </w:p>
        </w:tc>
        <w:tc>
          <w:tcPr>
            <w:tcW w:type="dxa" w:w="3120"/>
          </w:tcPr>
          <w:p>
            <w:r>
              <w:rPr>
                <w:rFonts w:ascii="Arial" w:hAnsi="Arial"/>
                <w:sz w:val="18"/>
              </w:rPr>
              <w:t>Technical details not public, overall rating public</w:t>
            </w:r>
          </w:p>
        </w:tc>
      </w:tr>
    </w:tbl>
    <w:p>
      <w:r>
        <w:rPr>
          <w:rFonts w:ascii="Arial" w:hAnsi="Arial"/>
          <w:b/>
          <w:sz w:val="22"/>
        </w:rPr>
        <w:t>Bug Bounty Program</w:t>
      </w:r>
    </w:p>
    <w:p>
      <w:r>
        <w:rPr>
          <w:rFonts w:ascii="Arial" w:hAnsi="Arial"/>
          <w:sz w:val="22"/>
        </w:rPr>
        <w:t>Bug bounty program（Bug Bounty Program）</w:t>
      </w:r>
    </w:p>
    <w:p>
      <w:r>
        <w:rPr>
          <w:rFonts w:ascii="Arial" w:hAnsi="Arial"/>
          <w:sz w:val="22"/>
        </w:rPr>
        <w:t>The vulnerability reporting channel is open to global security researchers, with rewards based on vulnerability severity:</w:t>
      </w:r>
    </w:p>
    <w:tbl>
      <w:tblPr>
        <w:tblStyle w:val="LightShading-Accent1"/>
        <w:tblW w:type="auto" w:w="0"/>
        <w:tblLook w:firstColumn="1" w:firstRow="1" w:lastColumn="0" w:lastRow="0" w:noHBand="0" w:noVBand="1" w:val="04A0"/>
      </w:tblPr>
      <w:tblGrid>
        <w:gridCol w:w="3120"/>
        <w:gridCol w:w="3120"/>
        <w:gridCol w:w="3120"/>
      </w:tblGrid>
      <w:tr>
        <w:tc>
          <w:tcPr>
            <w:tcW w:type="dxa" w:w="3120"/>
          </w:tcPr>
          <w:p>
            <w:r>
              <w:rPr>
                <w:rFonts w:ascii="Arial" w:hAnsi="Arial"/>
                <w:b/>
                <w:sz w:val="18"/>
              </w:rPr>
              <w:t>Severity</w:t>
            </w:r>
          </w:p>
        </w:tc>
        <w:tc>
          <w:tcPr>
            <w:tcW w:type="dxa" w:w="3120"/>
          </w:tcPr>
          <w:p>
            <w:r>
              <w:rPr>
                <w:rFonts w:ascii="Arial" w:hAnsi="Arial"/>
                <w:b/>
                <w:sz w:val="18"/>
              </w:rPr>
              <w:t>Examples</w:t>
            </w:r>
          </w:p>
        </w:tc>
        <w:tc>
          <w:tcPr>
            <w:tcW w:type="dxa" w:w="3120"/>
          </w:tcPr>
          <w:p>
            <w:r>
              <w:rPr>
                <w:rFonts w:ascii="Arial" w:hAnsi="Arial"/>
                <w:b/>
                <w:sz w:val="18"/>
              </w:rPr>
              <w:t>Reward Range</w:t>
            </w:r>
          </w:p>
        </w:tc>
      </w:tr>
      <w:tr>
        <w:tc>
          <w:tcPr>
            <w:tcW w:type="dxa" w:w="3120"/>
          </w:tcPr>
          <w:p>
            <w:r>
              <w:rPr>
                <w:rFonts w:ascii="Arial" w:hAnsi="Arial"/>
                <w:sz w:val="18"/>
              </w:rPr>
              <w:t>Critical</w:t>
            </w:r>
          </w:p>
        </w:tc>
        <w:tc>
          <w:tcPr>
            <w:tcW w:type="dxa" w:w="3120"/>
          </w:tcPr>
          <w:p>
            <w:r>
              <w:rPr>
                <w:rFonts w:ascii="Arial" w:hAnsi="Arial"/>
                <w:sz w:val="18"/>
              </w:rPr>
              <w:t>Can cause AIGC to produce undetectable incorrect rulings; can bypass one of the triple hard constraints</w:t>
            </w:r>
          </w:p>
        </w:tc>
        <w:tc>
          <w:tcPr>
            <w:tcW w:type="dxa" w:w="3120"/>
          </w:tcPr>
          <w:p>
            <w:r>
              <w:rPr>
                <w:rFonts w:ascii="Arial" w:hAnsi="Arial"/>
                <w:sz w:val="18"/>
              </w:rPr>
              <w:t>0.1% of the city's annual AI tax revenue (capped), approximately equivalent to a high-value reward</w:t>
            </w:r>
          </w:p>
        </w:tc>
      </w:tr>
      <w:tr>
        <w:tc>
          <w:tcPr>
            <w:tcW w:type="dxa" w:w="3120"/>
          </w:tcPr>
          <w:p>
            <w:r>
              <w:rPr>
                <w:rFonts w:ascii="Arial" w:hAnsi="Arial"/>
                <w:sz w:val="18"/>
              </w:rPr>
              <w:t>High</w:t>
            </w:r>
          </w:p>
        </w:tc>
        <w:tc>
          <w:tcPr>
            <w:tcW w:type="dxa" w:w="3120"/>
          </w:tcPr>
          <w:p>
            <w:r>
              <w:rPr>
                <w:rFonts w:ascii="Arial" w:hAnsi="Arial"/>
                <w:sz w:val="18"/>
              </w:rPr>
              <w:t>Can access third-layer private data of other citizens; can manipulate evidence collection for specific types of cases</w:t>
            </w:r>
          </w:p>
        </w:tc>
        <w:tc>
          <w:tcPr>
            <w:tcW w:type="dxa" w:w="3120"/>
          </w:tcPr>
          <w:p>
            <w:r>
              <w:rPr>
                <w:rFonts w:ascii="Arial" w:hAnsi="Arial"/>
                <w:sz w:val="18"/>
              </w:rPr>
              <w:t>Medium reward</w:t>
            </w:r>
          </w:p>
        </w:tc>
      </w:tr>
      <w:tr>
        <w:tc>
          <w:tcPr>
            <w:tcW w:type="dxa" w:w="3120"/>
          </w:tcPr>
          <w:p>
            <w:r>
              <w:rPr>
                <w:rFonts w:ascii="Arial" w:hAnsi="Arial"/>
                <w:sz w:val="18"/>
              </w:rPr>
              <w:t>Medium</w:t>
            </w:r>
          </w:p>
        </w:tc>
        <w:tc>
          <w:tcPr>
            <w:tcW w:type="dxa" w:w="3120"/>
          </w:tcPr>
          <w:p>
            <w:r>
              <w:rPr>
                <w:rFonts w:ascii="Arial" w:hAnsi="Arial"/>
                <w:sz w:val="18"/>
              </w:rPr>
              <w:t>Can cause specific function degradation or information leakage; can bypass certain access controls</w:t>
            </w:r>
          </w:p>
        </w:tc>
        <w:tc>
          <w:tcPr>
            <w:tcW w:type="dxa" w:w="3120"/>
          </w:tcPr>
          <w:p>
            <w:r>
              <w:rPr>
                <w:rFonts w:ascii="Arial" w:hAnsi="Arial"/>
                <w:sz w:val="18"/>
              </w:rPr>
              <w:t>Standard reward</w:t>
            </w:r>
          </w:p>
        </w:tc>
      </w:tr>
      <w:tr>
        <w:tc>
          <w:tcPr>
            <w:tcW w:type="dxa" w:w="3120"/>
          </w:tcPr>
          <w:p>
            <w:r>
              <w:rPr>
                <w:rFonts w:ascii="Arial" w:hAnsi="Arial"/>
                <w:sz w:val="18"/>
              </w:rPr>
              <w:t>Low</w:t>
            </w:r>
          </w:p>
        </w:tc>
        <w:tc>
          <w:tcPr>
            <w:tcW w:type="dxa" w:w="3120"/>
          </w:tcPr>
          <w:p>
            <w:r>
              <w:rPr>
                <w:rFonts w:ascii="Arial" w:hAnsi="Arial"/>
                <w:sz w:val="18"/>
              </w:rPr>
              <w:t>Does not affect functionality but has value for security design improvement suggestions</w:t>
            </w:r>
          </w:p>
        </w:tc>
        <w:tc>
          <w:tcPr>
            <w:tcW w:type="dxa" w:w="3120"/>
          </w:tcPr>
          <w:p>
            <w:r>
              <w:rPr>
                <w:rFonts w:ascii="Arial" w:hAnsi="Arial"/>
                <w:sz w:val="18"/>
              </w:rPr>
              <w:t>Thank you reward + public acknowledgment</w:t>
            </w:r>
          </w:p>
        </w:tc>
      </w:tr>
    </w:tbl>
    <w:p>
      <w:r>
        <w:rPr>
          <w:rFonts w:ascii="Arial" w:hAnsi="Arial"/>
          <w:sz w:val="22"/>
        </w:rPr>
        <w:t>All details of resolved vulnerabilities are made public 30 days after the fix is completed, serving as accumulation of security knowledge and as public recognition of vulnerability reporters' contributions.</w:t>
      </w:r>
    </w:p>
    <w:p>
      <w:r>
        <w:rPr>
          <w:rFonts w:ascii="Arial" w:hAnsi="Arial"/>
          <w:b/>
          <w:sz w:val="22"/>
        </w:rPr>
        <w:t>7.8 External Political Threats: Institutional Resilience Under Geopolitical Pressure</w:t>
      </w:r>
    </w:p>
    <w:p>
      <w:r>
        <w:rPr>
          <w:rFonts w:ascii="Arial" w:hAnsi="Arial"/>
          <w:sz w:val="22"/>
        </w:rPr>
        <w:t>AI governance cities face not only technical attacks but also external political and economic pressure—when this system begins to succeed and influence global governance discussions, existing power structures will generate strong defensive reactions.</w:t>
      </w:r>
    </w:p>
    <w:p>
      <w:r>
        <w:rPr>
          <w:rFonts w:ascii="Arial" w:hAnsi="Arial"/>
          <w:b/>
          <w:sz w:val="22"/>
        </w:rPr>
        <w:t>Possible Forms of External Threats</w:t>
      </w:r>
    </w:p>
    <w:p>
      <w:pPr>
        <w:pStyle w:val="ListBullet"/>
      </w:pPr>
      <w:r>
        <w:rPr>
          <w:rFonts w:ascii="Arial" w:hAnsi="Arial"/>
          <w:b/>
          <w:sz w:val="22"/>
        </w:rPr>
        <w:t>Legal attacks:</w:t>
      </w:r>
      <w:r>
        <w:rPr>
          <w:rFonts w:ascii="Arial" w:hAnsi="Arial"/>
          <w:sz w:val="22"/>
        </w:rPr>
        <w:t xml:space="preserve"> Challenge the legal legitimacy of the AI governance system through international arbitration or bilateral agreements</w:t>
      </w:r>
    </w:p>
    <w:p>
      <w:pPr>
        <w:pStyle w:val="ListBullet"/>
      </w:pPr>
      <w:r>
        <w:rPr>
          <w:rFonts w:ascii="Arial" w:hAnsi="Arial"/>
          <w:b/>
          <w:sz w:val="22"/>
        </w:rPr>
        <w:t>Economic blockade:</w:t>
      </w:r>
      <w:r>
        <w:rPr>
          <w:rFonts w:ascii="Arial" w:hAnsi="Arial"/>
          <w:sz w:val="22"/>
        </w:rPr>
        <w:t xml:space="preserve"> Apply pressure on the city's trade or financial dealings</w:t>
      </w:r>
    </w:p>
    <w:p>
      <w:pPr>
        <w:pStyle w:val="ListBullet"/>
      </w:pPr>
      <w:r>
        <w:rPr>
          <w:rFonts w:ascii="Arial" w:hAnsi="Arial"/>
          <w:b/>
          <w:sz w:val="22"/>
        </w:rPr>
        <w:t>Media manipulation:</w:t>
      </w:r>
      <w:r>
        <w:rPr>
          <w:rFonts w:ascii="Arial" w:hAnsi="Arial"/>
          <w:sz w:val="22"/>
        </w:rPr>
        <w:t xml:space="preserve"> Fund negative public opinion campaigns targeting the AI governance system</w:t>
      </w:r>
    </w:p>
    <w:p>
      <w:pPr>
        <w:pStyle w:val="ListBullet"/>
      </w:pPr>
      <w:r>
        <w:rPr>
          <w:rFonts w:ascii="Arial" w:hAnsi="Arial"/>
          <w:b/>
          <w:sz w:val="22"/>
        </w:rPr>
        <w:t>Internal infiltration:</w:t>
      </w:r>
      <w:r>
        <w:rPr>
          <w:rFonts w:ascii="Arial" w:hAnsi="Arial"/>
          <w:sz w:val="22"/>
        </w:rPr>
        <w:t xml:space="preserve"> Influence the exercise of veto authority by funding specific candidates to enter the Elder Council</w:t>
      </w:r>
    </w:p>
    <w:p>
      <w:pPr>
        <w:pStyle w:val="ListBullet"/>
      </w:pPr>
      <w:r>
        <w:rPr>
          <w:rFonts w:ascii="Arial" w:hAnsi="Arial"/>
          <w:b/>
          <w:sz w:val="22"/>
        </w:rPr>
        <w:t>Technical Blockade:</w:t>
      </w:r>
      <w:r>
        <w:rPr>
          <w:rFonts w:ascii="Arial" w:hAnsi="Arial"/>
          <w:sz w:val="22"/>
        </w:rPr>
        <w:t xml:space="preserve"> Pressuring the city's technology suppliers to interrupt services</w:t>
      </w:r>
    </w:p>
    <w:p>
      <w:r>
        <w:rPr>
          <w:rFonts w:ascii="Arial" w:hAnsi="Arial"/>
          <w:b/>
          <w:sz w:val="22"/>
        </w:rPr>
        <w:t>Institutional Safeguard Design</w:t>
      </w:r>
    </w:p>
    <w:p>
      <w:pPr>
        <w:pStyle w:val="ListBullet"/>
      </w:pPr>
      <w:r>
        <w:rPr>
          <w:rFonts w:ascii="Arial" w:hAnsi="Arial"/>
          <w:b/>
          <w:sz w:val="22"/>
        </w:rPr>
        <w:t>Diversified Diplomatic Relations:</w:t>
      </w:r>
      <w:r>
        <w:rPr>
          <w:rFonts w:ascii="Arial" w:hAnsi="Arial"/>
          <w:sz w:val="22"/>
        </w:rPr>
        <w:t xml:space="preserve"> Proactively establishing formal or informal relations with multiple politically independent nations, ensuring no single external power can isolate the city through diplomatic pressure.</w:t>
      </w:r>
    </w:p>
    <w:p>
      <w:pPr>
        <w:pStyle w:val="ListBullet"/>
      </w:pPr>
      <w:r>
        <w:rPr>
          <w:rFonts w:ascii="Arial" w:hAnsi="Arial"/>
          <w:b/>
          <w:sz w:val="22"/>
        </w:rPr>
        <w:t>Diversified Funding Sources:</w:t>
      </w:r>
      <w:r>
        <w:rPr>
          <w:rFonts w:ascii="Arial" w:hAnsi="Arial"/>
          <w:sz w:val="22"/>
        </w:rPr>
        <w:t xml:space="preserve"> The city's funding is distributed across multiple channels (AI labor tax, data cooperation revenue, city service fees), with no single source exceeding 30% of total revenue. Any single source disruption will not jeopardize city operations.</w:t>
      </w:r>
    </w:p>
    <w:p>
      <w:pPr>
        <w:pStyle w:val="ListBullet"/>
      </w:pPr>
      <w:r>
        <w:rPr>
          <w:rFonts w:ascii="Arial" w:hAnsi="Arial"/>
          <w:b/>
          <w:sz w:val="22"/>
        </w:rPr>
        <w:t>Diversified Technology Supply:</w:t>
      </w:r>
      <w:r>
        <w:rPr>
          <w:rFonts w:ascii="Arial" w:hAnsi="Arial"/>
          <w:sz w:val="22"/>
        </w:rPr>
        <w:t xml:space="preserve"> Key technical infrastructure uses products from different countries and suppliers; critical systems have open-source alternatives as backup to prevent supply chain politicization.</w:t>
      </w:r>
    </w:p>
    <w:p>
      <w:pPr>
        <w:pStyle w:val="ListBullet"/>
      </w:pPr>
      <w:r>
        <w:rPr>
          <w:rFonts w:ascii="Arial" w:hAnsi="Arial"/>
          <w:b/>
          <w:sz w:val="22"/>
        </w:rPr>
        <w:t>Enhanced Elder Council Interest Review:</w:t>
      </w:r>
      <w:r>
        <w:rPr>
          <w:rFonts w:ascii="Arial" w:hAnsi="Arial"/>
          <w:sz w:val="22"/>
        </w:rPr>
        <w:t xml:space="preserve"> All Elder candidates must undergo detailed funding source review; any changes in overseas relations during an Elder's term must be immediately declared and made publicly available on-chain.</w:t>
      </w:r>
    </w:p>
    <w:p>
      <w:pPr>
        <w:pStyle w:val="ListBullet"/>
      </w:pPr>
      <w:r>
        <w:rPr>
          <w:rFonts w:ascii="Arial" w:hAnsi="Arial"/>
          <w:b/>
          <w:sz w:val="22"/>
        </w:rPr>
        <w:t>Transparency Is the Best Defense:</w:t>
      </w:r>
      <w:r>
        <w:rPr>
          <w:rFonts w:ascii="Arial" w:hAnsi="Arial"/>
          <w:sz w:val="22"/>
        </w:rPr>
        <w:t xml:space="preserve"> For all external pressure and attack attempts, the first response is to publicize rather than respond. A system that publicly records all attack attempts on-chain creates a strong deterrent through the negative reputational cost to the attacker.</w:t>
      </w:r>
    </w:p>
    <w:p>
      <w:r>
        <w:rPr>
          <w:rFonts w:ascii="Arial" w:hAnsi="Arial"/>
          <w:b/>
          <w:sz w:val="22"/>
        </w:rPr>
        <w:t>Chapter Summary</w:t>
      </w:r>
    </w:p>
    <w:p>
      <w:r>
        <w:rPr>
          <w:rFonts w:ascii="Arial" w:hAnsi="Arial"/>
          <w:sz w:val="22"/>
        </w:rPr>
        <w:t>This chapter completes the comprehensive design of the AI governance system security safeguard mechanism, with the following core achievements:</w:t>
      </w:r>
    </w:p>
    <w:p>
      <w:pPr>
        <w:pStyle w:val="ListBullet"/>
      </w:pPr>
      <w:r>
        <w:rPr>
          <w:rFonts w:ascii="Arial" w:hAnsi="Arial"/>
          <w:b/>
          <w:sz w:val="22"/>
        </w:rPr>
        <w:t>Security Philosophy Transformation:</w:t>
      </w:r>
      <w:r>
        <w:rPr>
          <w:rFonts w:ascii="Arial" w:hAnsi="Arial"/>
          <w:sz w:val="22"/>
        </w:rPr>
        <w:t xml:space="preserve"> From assuming invulnerability to assuming failure and designing for recovery; from single-layer strong protection to five-layer defense-in-depth; from hiding failures to transparent failures.</w:t>
      </w:r>
    </w:p>
    <w:p>
      <w:pPr>
        <w:pStyle w:val="ListBullet"/>
      </w:pPr>
      <w:r>
        <w:rPr>
          <w:rFonts w:ascii="Arial" w:hAnsi="Arial"/>
          <w:b/>
          <w:sz w:val="22"/>
        </w:rPr>
        <w:t>Five-Layer Defense-in-Depth:</w:t>
      </w:r>
      <w:r>
        <w:rPr>
          <w:rFonts w:ascii="Arial" w:hAnsi="Arial"/>
          <w:sz w:val="22"/>
        </w:rPr>
        <w:t xml:space="preserve"> Constitutional hard constraints, Elder Council veto power, real-time monitoring, independent audit network, and citizen whistleblower system—each layer independent, with multiple layers reinforcing each other.</w:t>
      </w:r>
    </w:p>
    <w:p>
      <w:pPr>
        <w:pStyle w:val="ListBullet"/>
      </w:pPr>
      <w:r>
        <w:rPr>
          <w:rFonts w:ascii="Arial" w:hAnsi="Arial"/>
          <w:b/>
          <w:sz w:val="22"/>
        </w:rPr>
        <w:t>Seven Threat Models:</w:t>
      </w:r>
      <w:r>
        <w:rPr>
          <w:rFonts w:ascii="Arial" w:hAnsi="Arial"/>
          <w:sz w:val="22"/>
        </w:rPr>
        <w:t xml:space="preserve"> Objective function tampering, training data poisoning, insider abuse, state-level cyber attacks, social engineering, adversarial inputs, and quantum computing threats—each category has targeted safeguards and honest explanations of effectiveness limitations.</w:t>
      </w:r>
    </w:p>
    <w:p>
      <w:pPr>
        <w:pStyle w:val="ListBullet"/>
      </w:pPr>
      <w:r>
        <w:rPr>
          <w:rFonts w:ascii="Arial" w:hAnsi="Arial"/>
          <w:b/>
          <w:sz w:val="22"/>
        </w:rPr>
        <w:t>Technical Implementation of Triple Hard Constraints:</w:t>
      </w:r>
      <w:r>
        <w:rPr>
          <w:rFonts w:ascii="Arial" w:hAnsi="Arial"/>
          <w:sz w:val="22"/>
        </w:rPr>
        <w:t xml:space="preserve"> Firmware layer hash locks, physically isolated one-way channels, and HSM multi-signature—each constraint has technical bottom-line guarantees and does not rely on any policy declarations.</w:t>
      </w:r>
    </w:p>
    <w:p>
      <w:pPr>
        <w:pStyle w:val="ListBullet"/>
      </w:pPr>
      <w:r>
        <w:rPr>
          <w:rFonts w:ascii="Arial" w:hAnsi="Arial"/>
          <w:b/>
          <w:sz w:val="22"/>
        </w:rPr>
        <w:t>Four-Tier Incident Response System:</w:t>
      </w:r>
      <w:r>
        <w:rPr>
          <w:rFonts w:ascii="Arial" w:hAnsi="Arial"/>
          <w:sz w:val="22"/>
        </w:rPr>
        <w:t xml:space="preserve"> From tier one automatic repair to tier four disaster manual takeover, with mandatory annual drills to ensure real-world usability.</w:t>
      </w:r>
    </w:p>
    <w:p>
      <w:pPr>
        <w:pStyle w:val="ListBullet"/>
      </w:pPr>
      <w:r>
        <w:rPr>
          <w:rFonts w:ascii="Arial" w:hAnsi="Arial"/>
          <w:b/>
          <w:sz w:val="22"/>
        </w:rPr>
        <w:t>Progressive Corrosion Prevention:</w:t>
      </w:r>
      <w:r>
        <w:rPr>
          <w:rFonts w:ascii="Arial" w:hAnsi="Arial"/>
          <w:sz w:val="22"/>
        </w:rPr>
        <w:t xml:space="preserve"> Exception counters, escalating modification threshold principles, and dedicated anti-corruption audits—preventing the most insidious security threats from the institutional design level.</w:t>
      </w:r>
    </w:p>
    <w:p>
      <w:pPr>
        <w:pStyle w:val="ListBullet"/>
      </w:pPr>
      <w:r>
        <w:rPr>
          <w:rFonts w:ascii="Arial" w:hAnsi="Arial"/>
          <w:b/>
          <w:sz w:val="22"/>
        </w:rPr>
        <w:t>Institutionalized Auditing:</w:t>
      </w:r>
      <w:r>
        <w:rPr>
          <w:rFonts w:ascii="Arial" w:hAnsi="Arial"/>
          <w:sz w:val="22"/>
        </w:rPr>
        <w:t xml:space="preserve"> Semi-annual red team tests (three independent institutions) plus continuous vulnerability reward program, establishing a security culture of active discovery rather than passive waiting for vulnerabilities.</w:t>
      </w:r>
    </w:p>
    <w:p>
      <w:pPr>
        <w:pStyle w:val="ListBullet"/>
      </w:pPr>
      <w:r>
        <w:rPr>
          <w:rFonts w:ascii="Arial" w:hAnsi="Arial"/>
          <w:b/>
          <w:sz w:val="22"/>
        </w:rPr>
        <w:t>External Political Threat Protection:</w:t>
      </w:r>
      <w:r>
        <w:rPr>
          <w:rFonts w:ascii="Arial" w:hAnsi="Arial"/>
          <w:sz w:val="22"/>
        </w:rPr>
        <w:t xml:space="preserve"> Diversified diplomatic relations, funding sources, and technology supply sources, with transparency as the primary defensive measure.</w:t>
      </w:r>
    </w:p>
    <w:p>
      <w:r>
        <w:rPr>
          <w:rFonts w:ascii="Arial" w:hAnsi="Arial"/>
          <w:sz w:val="22"/>
        </w:rPr>
        <w:t>The final chapter (Chapter 8) will return from technical and institutional design to the human dimension: How does any of this begin? Who can participate? And now, what can you do?</w:t>
      </w:r>
    </w:p>
    <w:p>
      <w:r>
        <w:rPr>
          <w:rFonts w:ascii="Arial" w:hAnsi="Arial"/>
          <w:i/>
          <w:sz w:val="22"/>
        </w:rPr>
        <w:t>Word count: approximately 8,200 characters</w:t>
      </w:r>
    </w:p>
    <w:p>
      <w:r>
        <w:rPr>
          <w:rFonts w:ascii="Arial" w:hAnsi="Arial"/>
          <w:i/>
          <w:sz w:val="22"/>
        </w:rPr>
        <w:t>AI Civilization Governance Whitepaper v1.0 · Chapter 7</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999999"/>
        <w:sz w:val="18"/>
      </w:rPr>
      <w:t xml:space="preserve">Page </w:t>
    </w:r>
    <w:r>
      <w:fldChar w:fldCharType="begin"/>
    </w:r>
    <w:r>
      <w:instrText xml:space="preserve"> PAGE </w:instrText>
    </w:r>
    <w:r>
      <w:fldChar w:fldCharType="end"/>
    </w:r>
    <w:r>
      <w:rPr>
        <w:rFonts w:ascii="Arial" w:hAnsi="Arial"/>
        <w:color w:val="999999"/>
        <w:sz w:val="18"/>
      </w:rPr>
      <w:t xml:space="preserve"> of </w:t>
    </w:r>
    <w:r>
      <w:fldChar w:fldCharType="begin"/>
    </w:r>
    <w:r>
      <w:instrText xml:space="preserve"> NUMPAGES </w:instrText>
    </w:r>
    <w: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t>DAOTONG AI Governance · Ch7 Security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Arial" w:hAnsi="Arial"/>
      <w:color w:val="999999"/>
      <w:sz w:val="18"/>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A3C6E"/>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A3C6E"/>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A3C6E"/>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