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Arial" w:hAnsi="Arial"/>
          <w:sz w:val="22"/>
        </w:rPr>
        <w:t>AI Civilization Governance System · Whitepaper v1.0</w:t>
      </w:r>
    </w:p>
    <w:p>
      <w:r>
        <w:rPr>
          <w:rFonts w:ascii="Arial" w:hAnsi="Arial"/>
          <w:b/>
          <w:sz w:val="22"/>
        </w:rPr>
        <w:t>Chapter 6: Identity — AI-Citizen ID Protocol</w:t>
      </w:r>
    </w:p>
    <w:p>
      <w:r>
        <w:rPr>
          <w:rFonts w:ascii="Arial" w:hAnsi="Arial"/>
          <w:i/>
          <w:sz w:val="22"/>
        </w:rPr>
        <w:t>Every chapter begins with a story about the system. This chapter tells a story about people. In the AI governance system, you are not merely a subject of governance—you are a citizen with digital sovereignty. Your identity belongs to you, your data belongs to you, and your rights travel with you. The AI-Citizen ID Protocol is the technical foundation for achieving all of this. Without it, judicial enforcement cannot be executed, voting cannot be verified, UBI cannot be distributed, and equity cannot be attributed. It is the nervous system of the entire governance framework—but when designed well, you barely notice its existence.</w:t>
      </w:r>
    </w:p>
    <w:p>
      <w:r>
        <w:rPr>
          <w:rFonts w:ascii="Arial" w:hAnsi="Arial"/>
          <w:b/>
          <w:sz w:val="22"/>
        </w:rPr>
        <w:t>6.1 Why Existing Identity Systems Are One of the Roots of Governance Corruption</w:t>
      </w:r>
    </w:p>
    <w:p>
      <w:r>
        <w:rPr>
          <w:rFonts w:ascii="Arial" w:hAnsi="Arial"/>
          <w:sz w:val="22"/>
        </w:rPr>
        <w:t>Before discussing the design of AI-Citizen ID, we must first understand the fundamental flaws of existing identity systems—because it is precisely these flaws that enable corruption and inequality to occur systematically in everyday administration.</w:t>
      </w:r>
    </w:p>
    <w:p>
      <w:r>
        <w:rPr>
          <w:rFonts w:ascii="Arial" w:hAnsi="Arial"/>
          <w:sz w:val="22"/>
        </w:rPr>
        <w:t>Traditional government identity systems have four structural problems:</w:t>
      </w:r>
    </w:p>
    <w:p>
      <w:pPr>
        <w:pStyle w:val="ListBullet"/>
      </w:pPr>
      <w:r>
        <w:rPr>
          <w:rFonts w:ascii="Arial" w:hAnsi="Arial"/>
          <w:b/>
          <w:sz w:val="22"/>
        </w:rPr>
        <w:t>Information Asymmetry:</w:t>
      </w:r>
      <w:r>
        <w:rPr>
          <w:rFonts w:ascii="Arial" w:hAnsi="Arial"/>
          <w:sz w:val="22"/>
        </w:rPr>
        <w:t xml:space="preserve"> The government possesses all identity information about citizens, while citizens have no knowledge of how this information is used, who accesses it, or whether it is abused. Information flows in one direction only.</w:t>
      </w:r>
    </w:p>
    <w:p>
      <w:pPr>
        <w:pStyle w:val="ListBullet"/>
      </w:pPr>
      <w:r>
        <w:rPr>
          <w:rFonts w:ascii="Arial" w:hAnsi="Arial"/>
          <w:b/>
          <w:sz w:val="22"/>
        </w:rPr>
        <w:t>Centralized Vulnerability:</w:t>
      </w:r>
      <w:r>
        <w:rPr>
          <w:rFonts w:ascii="Arial" w:hAnsi="Arial"/>
          <w:sz w:val="22"/>
        </w:rPr>
        <w:t xml:space="preserve"> All identity data is stored centrally; a single-point attack can expose millions of people's information. The 2017 U.S. Equifax data breach affected 147 million people; the 2015 U.S. Office of Personnel Management hack resulted in the theft of sensitive records for approximately 21.5 million government employees.</w:t>
      </w:r>
    </w:p>
    <w:p>
      <w:pPr>
        <w:pStyle w:val="ListBullet"/>
      </w:pPr>
      <w:r>
        <w:rPr>
          <w:rFonts w:ascii="Arial" w:hAnsi="Arial"/>
          <w:b/>
          <w:sz w:val="22"/>
        </w:rPr>
        <w:t>Identity as a Control Tool:</w:t>
      </w:r>
      <w:r>
        <w:rPr>
          <w:rFonts w:ascii="Arial" w:hAnsi="Arial"/>
          <w:sz w:val="22"/>
        </w:rPr>
        <w:t xml:space="preserve"> In many countries, governments control population movement, employment opportunities, and access to public services by controlling identity documents. The identity system is fundamentally a tool of power, not a service tool.</w:t>
      </w:r>
    </w:p>
    <w:p>
      <w:pPr>
        <w:pStyle w:val="ListBullet"/>
      </w:pPr>
      <w:r>
        <w:rPr>
          <w:rFonts w:ascii="Arial" w:hAnsi="Arial"/>
          <w:b/>
          <w:sz w:val="22"/>
        </w:rPr>
        <w:t>Non-portability:</w:t>
      </w:r>
      <w:r>
        <w:rPr>
          <w:rFonts w:ascii="Arial" w:hAnsi="Arial"/>
          <w:sz w:val="22"/>
        </w:rPr>
        <w:t xml:space="preserve"> Your identity records are trapped in the database of the issuing authority. When you move to a new city or country, all your records must be re-established—you cannot take proof of your past life with you.</w:t>
      </w:r>
    </w:p>
    <w:p>
      <w:r>
        <w:rPr>
          <w:rFonts w:ascii="Arial" w:hAnsi="Arial"/>
          <w:sz w:val="22"/>
        </w:rPr>
        <w:t>The AI-Citizen ID Protocol provides technical solutions to each of these four defects.</w:t>
      </w:r>
    </w:p>
    <w:p>
      <w:r>
        <w:rPr>
          <w:rFonts w:ascii="Arial" w:hAnsi="Arial"/>
          <w:b/>
          <w:sz w:val="22"/>
        </w:rPr>
        <w:t>6.2 Three-Layer Privacy Architecture: Breaking the False Dichotomy Between Transparency and Privacy</w:t>
      </w:r>
    </w:p>
    <w:p>
      <w:r>
        <w:rPr>
          <w:rFonts w:ascii="Arial" w:hAnsi="Arial"/>
          <w:sz w:val="22"/>
        </w:rPr>
        <w:t>Designing a digital identity system faces a core contradiction: governance systems need sufficient information to provide precise services, but citizens need privacy to maintain freedom. Traditional systems typically choose one side: either comprehensive information collection (sacrificing privacy) or strict privacy protection (reducing service quality).</w:t>
      </w:r>
    </w:p>
    <w:p>
      <w:r>
        <w:rPr>
          <w:rFonts w:ascii="Arial" w:hAnsi="Arial"/>
          <w:sz w:val="22"/>
        </w:rPr>
        <w:t>The Three-Layer Privacy Architecture breaks this false dichotomy, making both possible simultaneously:</w:t>
      </w:r>
    </w:p>
    <w:tbl>
      <w:tblPr>
        <w:tblStyle w:val="LightShading-Accent1"/>
        <w:tblW w:type="auto" w:w="0"/>
        <w:tblLook w:firstColumn="1" w:firstRow="1" w:lastColumn="0" w:lastRow="0" w:noHBand="0" w:noVBand="1" w:val="04A0"/>
      </w:tblPr>
      <w:tblGrid>
        <w:gridCol w:w="2340"/>
        <w:gridCol w:w="2340"/>
        <w:gridCol w:w="2340"/>
        <w:gridCol w:w="2340"/>
      </w:tblGrid>
      <w:tr>
        <w:tc>
          <w:tcPr>
            <w:tcW w:type="dxa" w:w="2340"/>
          </w:tcPr>
          <w:p>
            <w:r>
              <w:rPr>
                <w:rFonts w:ascii="Arial" w:hAnsi="Arial"/>
                <w:b/>
                <w:sz w:val="18"/>
              </w:rPr>
              <w:t>Data Layer</w:t>
            </w:r>
          </w:p>
        </w:tc>
        <w:tc>
          <w:tcPr>
            <w:tcW w:type="dxa" w:w="2340"/>
          </w:tcPr>
          <w:p>
            <w:r>
              <w:rPr>
                <w:rFonts w:ascii="Arial" w:hAnsi="Arial"/>
                <w:b/>
                <w:sz w:val="18"/>
              </w:rPr>
              <w:t>Content Included</w:t>
            </w:r>
          </w:p>
        </w:tc>
        <w:tc>
          <w:tcPr>
            <w:tcW w:type="dxa" w:w="2340"/>
          </w:tcPr>
          <w:p>
            <w:r>
              <w:rPr>
                <w:rFonts w:ascii="Arial" w:hAnsi="Arial"/>
                <w:b/>
                <w:sz w:val="18"/>
              </w:rPr>
              <w:t>Access Permissions</w:t>
            </w:r>
          </w:p>
        </w:tc>
        <w:tc>
          <w:tcPr>
            <w:tcW w:type="dxa" w:w="2340"/>
          </w:tcPr>
          <w:p>
            <w:r>
              <w:rPr>
                <w:rFonts w:ascii="Arial" w:hAnsi="Arial"/>
                <w:b/>
                <w:sz w:val="18"/>
              </w:rPr>
              <w:t>Technical Guarantees</w:t>
            </w:r>
          </w:p>
        </w:tc>
      </w:tr>
      <w:tr>
        <w:tc>
          <w:tcPr>
            <w:tcW w:type="dxa" w:w="2340"/>
          </w:tcPr>
          <w:p>
            <w:r>
              <w:rPr>
                <w:rFonts w:ascii="Arial" w:hAnsi="Arial"/>
                <w:sz w:val="18"/>
              </w:rPr>
              <w:t>Layer 1: Public</w:t>
            </w:r>
          </w:p>
        </w:tc>
        <w:tc>
          <w:tcPr>
            <w:tcW w:type="dxa" w:w="2340"/>
          </w:tcPr>
          <w:p>
            <w:r>
              <w:rPr>
                <w:rFonts w:ascii="Arial" w:hAnsi="Arial"/>
                <w:sz w:val="18"/>
              </w:rPr>
              <w:t>Citizen ID number, voting eligibility status, social contribution value, city membership</w:t>
            </w:r>
          </w:p>
        </w:tc>
        <w:tc>
          <w:tcPr>
            <w:tcW w:type="dxa" w:w="2340"/>
          </w:tcPr>
          <w:p>
            <w:r>
              <w:rPr>
                <w:rFonts w:ascii="Arial" w:hAnsi="Arial"/>
                <w:sz w:val="18"/>
              </w:rPr>
              <w:t>Anyone can query</w:t>
            </w:r>
          </w:p>
        </w:tc>
        <w:tc>
          <w:tcPr>
            <w:tcW w:type="dxa" w:w="2340"/>
          </w:tcPr>
          <w:p>
            <w:r>
              <w:rPr>
                <w:rFonts w:ascii="Arial" w:hAnsi="Arial"/>
                <w:sz w:val="18"/>
              </w:rPr>
              <w:t>On-chain public records, mathematically immutable</w:t>
            </w:r>
          </w:p>
        </w:tc>
      </w:tr>
      <w:tr>
        <w:tc>
          <w:tcPr>
            <w:tcW w:type="dxa" w:w="2340"/>
          </w:tcPr>
          <w:p>
            <w:r>
              <w:rPr>
                <w:rFonts w:ascii="Arial" w:hAnsi="Arial"/>
                <w:sz w:val="18"/>
              </w:rPr>
              <w:t>Layer 2: Authorized</w:t>
            </w:r>
          </w:p>
        </w:tc>
        <w:tc>
          <w:tcPr>
            <w:tcW w:type="dxa" w:w="2340"/>
          </w:tcPr>
          <w:p>
            <w:r>
              <w:rPr>
                <w:rFonts w:ascii="Arial" w:hAnsi="Arial"/>
                <w:sz w:val="18"/>
              </w:rPr>
              <w:t>Education records, asset proofs, employment history, medical summaries</w:t>
            </w:r>
          </w:p>
        </w:tc>
        <w:tc>
          <w:tcPr>
            <w:tcW w:type="dxa" w:w="2340"/>
          </w:tcPr>
          <w:p>
            <w:r>
              <w:rPr>
                <w:rFonts w:ascii="Arial" w:hAnsi="Arial"/>
                <w:sz w:val="18"/>
              </w:rPr>
              <w:t>Specific institutions can temporarily access upon authorization by the individual</w:t>
            </w:r>
          </w:p>
        </w:tc>
        <w:tc>
          <w:tcPr>
            <w:tcW w:type="dxa" w:w="2340"/>
          </w:tcPr>
          <w:p>
            <w:r>
              <w:rPr>
                <w:rFonts w:ascii="Arial" w:hAnsi="Arial"/>
                <w:sz w:val="18"/>
              </w:rPr>
              <w:t>Attribute Credentials with automatic expiration after 72 hours</w:t>
            </w:r>
          </w:p>
        </w:tc>
      </w:tr>
      <w:tr>
        <w:tc>
          <w:tcPr>
            <w:tcW w:type="dxa" w:w="2340"/>
          </w:tcPr>
          <w:p>
            <w:r>
              <w:rPr>
                <w:rFonts w:ascii="Arial" w:hAnsi="Arial"/>
                <w:sz w:val="18"/>
              </w:rPr>
              <w:t>Layer 3: Private</w:t>
            </w:r>
          </w:p>
        </w:tc>
        <w:tc>
          <w:tcPr>
            <w:tcW w:type="dxa" w:w="2340"/>
          </w:tcPr>
          <w:p>
            <w:r>
              <w:rPr>
                <w:rFonts w:ascii="Arial" w:hAnsi="Arial"/>
                <w:sz w:val="18"/>
              </w:rPr>
              <w:t>Raw biometric data, communication records, location history, sensitive medical information</w:t>
            </w:r>
          </w:p>
        </w:tc>
        <w:tc>
          <w:tcPr>
            <w:tcW w:type="dxa" w:w="2340"/>
          </w:tcPr>
          <w:p>
            <w:r>
              <w:rPr>
                <w:rFonts w:ascii="Arial" w:hAnsi="Arial"/>
                <w:sz w:val="18"/>
              </w:rPr>
              <w:t>Visible only to the individual; technically impossible for third parties to access</w:t>
            </w:r>
          </w:p>
        </w:tc>
        <w:tc>
          <w:tcPr>
            <w:tcW w:type="dxa" w:w="2340"/>
          </w:tcPr>
          <w:p>
            <w:r>
              <w:rPr>
                <w:rFonts w:ascii="Arial" w:hAnsi="Arial"/>
                <w:sz w:val="18"/>
              </w:rPr>
              <w:t>Local encryption, private key held solely by the individual</w:t>
            </w:r>
          </w:p>
        </w:tc>
      </w:tr>
    </w:tbl>
    <w:p>
      <w:r>
        <w:rPr>
          <w:rFonts w:ascii="Arial" w:hAnsi="Arial"/>
          <w:sz w:val="22"/>
        </w:rPr>
        <w:t>The key innovation of the three-layer architecture is that Layer 2 authorization is granular, one-time, and revocable. When you visit a hospital, the hospital requests access to your medical summary, you authorize on your phone, the hospital receives a one-time access permission that automatically expires after 72 hours. You can view a list of all institutions that have accessed your data in your account and can revoke any still-active authorizations at any time.</w:t>
      </w:r>
    </w:p>
    <w:p>
      <w:r>
        <w:rPr>
          <w:rFonts w:ascii="Arial" w:hAnsi="Arial"/>
          <w:b/>
          <w:sz w:val="22"/>
        </w:rPr>
        <w:t>The Most Important Design Principle:</w:t>
      </w:r>
      <w:r>
        <w:rPr>
          <w:rFonts w:ascii="Arial" w:hAnsi="Arial"/>
          <w:sz w:val="22"/>
        </w:rPr>
        <w:t xml:space="preserve"> Layer 3 data never leaves your device. It is not encrypted and stored on a server waiting to be decrypted; rather, it physically exists only on your device, protected by a private key that only you hold. The city AI system has no technical capability to read Layer 3 data—not prohibited by policy, but technically impossible.</w:t>
      </w:r>
    </w:p>
    <w:p>
      <w:r>
        <w:rPr>
          <w:rFonts w:ascii="Arial" w:hAnsi="Arial"/>
          <w:b/>
          <w:sz w:val="22"/>
        </w:rPr>
        <w:t>6.3 Zero-Knowledge Proof: Proving Eligibility Without Revealing Secrets</w:t>
      </w:r>
    </w:p>
    <w:p>
      <w:r>
        <w:rPr>
          <w:rFonts w:ascii="Arial" w:hAnsi="Arial"/>
          <w:sz w:val="22"/>
        </w:rPr>
        <w:t>Zero-Knowledge Proof (ZKP) is the most critical underlying technology of the entire AI-Citizen ID Protocol. It solves a seemingly contradictory problem: how to prove that you satisfy a certain condition without revealing specific information?</w:t>
      </w:r>
    </w:p>
    <w:p>
      <w:r>
        <w:rPr>
          <w:rFonts w:ascii="Arial" w:hAnsi="Arial"/>
          <w:sz w:val="22"/>
        </w:rPr>
        <w:t>Three everyday analogies help explain this technology:</w:t>
      </w:r>
    </w:p>
    <w:p>
      <w:pPr>
        <w:ind w:left="567"/>
      </w:pPr>
      <w:r>
        <w:rPr>
          <w:rFonts w:ascii="Arial" w:hAnsi="Arial"/>
          <w:b/>
          <w:i/>
          <w:color w:val="555555"/>
          <w:sz w:val="22"/>
        </w:rPr>
        <w:t>Analogy 1: Age Verification</w:t>
      </w:r>
      <w:r>
        <w:rPr>
          <w:rFonts w:ascii="Arial" w:hAnsi="Arial"/>
          <w:i/>
          <w:color w:val="555555"/>
          <w:sz w:val="22"/>
        </w:rPr>
        <w:t xml:space="preserve">  </w:t>
      </w:r>
      <w:r>
        <w:rPr>
          <w:rFonts w:ascii="Arial" w:hAnsi="Arial"/>
          <w:i/>
          <w:color w:val="555555"/>
          <w:sz w:val="22"/>
        </w:rPr>
        <w:t>Analogy: You prove to a bar bouncer that you are at least 18 years old without handing over your entire passport—he doesn't need to know your exact birthdate, name, or address. He only needs to know: you meet the age requirement.</w:t>
      </w:r>
      <w:r>
        <w:rPr>
          <w:rFonts w:ascii="Arial" w:hAnsi="Arial"/>
          <w:i/>
          <w:color w:val="555555"/>
          <w:sz w:val="22"/>
        </w:rPr>
        <w:t xml:space="preserve">  Implication: AI-Citizen ID uses ZKP to prove that age meets service requirements while not revealing the specific age number. What the government service system sees is simply: this citizen's age meets the requirement—yes or no.  </w:t>
      </w:r>
      <w:r>
        <w:rPr>
          <w:rFonts w:ascii="Arial" w:hAnsi="Arial"/>
          <w:b/>
          <w:i/>
          <w:color w:val="555555"/>
          <w:sz w:val="22"/>
        </w:rPr>
        <w:t>Analogy 2: Financial Eligibility</w:t>
      </w:r>
      <w:r>
        <w:rPr>
          <w:rFonts w:ascii="Arial" w:hAnsi="Arial"/>
          <w:i/>
          <w:color w:val="555555"/>
          <w:sz w:val="22"/>
        </w:rPr>
        <w:t xml:space="preserve">  </w:t>
      </w:r>
      <w:r>
        <w:rPr>
          <w:rFonts w:ascii="Arial" w:hAnsi="Arial"/>
          <w:i/>
          <w:color w:val="555555"/>
          <w:sz w:val="22"/>
        </w:rPr>
        <w:t>Analogy: You prove to a bank that your account balance is sufficient for a loan without disclosing all your asset details, income sources, and spending records.</w:t>
      </w:r>
      <w:r>
        <w:rPr>
          <w:rFonts w:ascii="Arial" w:hAnsi="Arial"/>
          <w:i/>
          <w:color w:val="555555"/>
          <w:sz w:val="22"/>
        </w:rPr>
        <w:t xml:space="preserve">  Implication: AI-Citizen ID uses ZKP to prove that assets or income meet a specific threshold while not disclosing specific financial figures or account information to any institution.  </w:t>
      </w:r>
      <w:r>
        <w:rPr>
          <w:rFonts w:ascii="Arial" w:hAnsi="Arial"/>
          <w:b/>
          <w:i/>
          <w:color w:val="555555"/>
          <w:sz w:val="22"/>
        </w:rPr>
        <w:t>Analogy 3: Judicial Clearance</w:t>
      </w:r>
      <w:r>
        <w:rPr>
          <w:rFonts w:ascii="Arial" w:hAnsi="Arial"/>
          <w:i/>
          <w:color w:val="555555"/>
          <w:sz w:val="22"/>
        </w:rPr>
        <w:t xml:space="preserve">  </w:t>
      </w:r>
      <w:r>
        <w:rPr>
          <w:rFonts w:ascii="Arial" w:hAnsi="Arial"/>
          <w:i/>
          <w:color w:val="555555"/>
          <w:sz w:val="22"/>
        </w:rPr>
        <w:t>Analogy: You prove to an employer that you have no relevant type of criminal record without disclosing your complete legal file (which may contain information you don't want everyone to know but is unrelated to the job).</w:t>
      </w:r>
      <w:r>
        <w:rPr>
          <w:rFonts w:ascii="Arial" w:hAnsi="Arial"/>
          <w:i/>
          <w:color w:val="555555"/>
          <w:sz w:val="22"/>
        </w:rPr>
        <w:t xml:space="preserve">  Implication: AI-Citizen ID uses ZKP to prove that specific types of criminal records do not exist while not disclosing any other legal history information. The employer only knows: relevant verification passed—yes or no.</w:t>
      </w:r>
    </w:p>
    <w:p>
      <w:r>
        <w:rPr>
          <w:rFonts w:ascii="Arial" w:hAnsi="Arial"/>
          <w:sz w:val="22"/>
        </w:rPr>
        <w:t>ZKP is a rigorously proven technology in cryptography and has been deployed at scale in blockchain systems such as Ethereum and Zcash. AI-Citizen ID applies this technology to core citizen identity scenarios, covering all situations where qualification verification is needed but full disclosure is inappropriate, including age, assets, credentials, and judicial status.</w:t>
      </w:r>
    </w:p>
    <w:p>
      <w:pPr>
        <w:ind w:left="567"/>
      </w:pPr>
      <w:r>
        <w:rPr>
          <w:rFonts w:ascii="Arial" w:hAnsi="Arial"/>
          <w:i/>
          <w:color w:val="555555"/>
          <w:sz w:val="22"/>
        </w:rPr>
        <w:t>See also: Ben-Sasson et al., "SNARKs for C: Verifying Program Executions Succinctly and in Zero Knowledge"; Ethereum Foundation ZK-ROLLUP Technical Documentation; Worldcoin's World ID Privacy Design Whitepaper.</w:t>
      </w:r>
    </w:p>
    <w:p>
      <w:r>
        <w:rPr>
          <w:rFonts w:ascii="Arial" w:hAnsi="Arial"/>
          <w:b/>
          <w:sz w:val="22"/>
        </w:rPr>
        <w:t>6.4 Registration Process: Forgery Prevention Is the Highest Priority</w:t>
      </w:r>
    </w:p>
    <w:p>
      <w:r>
        <w:rPr>
          <w:rFonts w:ascii="Arial" w:hAnsi="Arial"/>
          <w:sz w:val="22"/>
        </w:rPr>
        <w:t>The most dangerous single point of failure in the AI-Citizen ID system is allowing one person to register multiple IDs—this would destroy the entire fairness foundation of voting, UBI distribution, and equity allocation. Every step of the registration process is designed with forgery prevention as the highest priority.</w:t>
      </w:r>
    </w:p>
    <w:p>
      <w:r>
        <w:rPr>
          <w:rFonts w:ascii="Arial" w:hAnsi="Arial"/>
          <w:b/>
          <w:sz w:val="22"/>
        </w:rPr>
        <w:t>Five-Step Registration Process</w:t>
      </w:r>
    </w:p>
    <w:tbl>
      <w:tblPr>
        <w:tblStyle w:val="LightShading-Accent1"/>
        <w:tblW w:type="auto" w:w="0"/>
        <w:tblLook w:firstColumn="1" w:firstRow="1" w:lastColumn="0" w:lastRow="0" w:noHBand="0" w:noVBand="1" w:val="04A0"/>
      </w:tblPr>
      <w:tblGrid>
        <w:gridCol w:w="2340"/>
        <w:gridCol w:w="2340"/>
        <w:gridCol w:w="2340"/>
        <w:gridCol w:w="2340"/>
      </w:tblGrid>
      <w:tr>
        <w:tc>
          <w:tcPr>
            <w:tcW w:type="dxa" w:w="2340"/>
          </w:tcPr>
          <w:p>
            <w:r>
              <w:rPr>
                <w:rFonts w:ascii="Arial" w:hAnsi="Arial"/>
                <w:b/>
                <w:sz w:val="18"/>
              </w:rPr>
              <w:t>Step</w:t>
            </w:r>
          </w:p>
        </w:tc>
        <w:tc>
          <w:tcPr>
            <w:tcW w:type="dxa" w:w="2340"/>
          </w:tcPr>
          <w:p>
            <w:r>
              <w:rPr>
                <w:rFonts w:ascii="Arial" w:hAnsi="Arial"/>
                <w:b/>
                <w:sz w:val="18"/>
              </w:rPr>
              <w:t>Action</w:t>
            </w:r>
          </w:p>
        </w:tc>
        <w:tc>
          <w:tcPr>
            <w:tcW w:type="dxa" w:w="2340"/>
          </w:tcPr>
          <w:p>
            <w:r>
              <w:rPr>
                <w:rFonts w:ascii="Arial" w:hAnsi="Arial"/>
                <w:b/>
                <w:sz w:val="18"/>
              </w:rPr>
              <w:t>Key Technology</w:t>
            </w:r>
          </w:p>
        </w:tc>
        <w:tc>
          <w:tcPr>
            <w:tcW w:type="dxa" w:w="2340"/>
          </w:tcPr>
          <w:p>
            <w:r>
              <w:rPr>
                <w:rFonts w:ascii="Arial" w:hAnsi="Arial"/>
                <w:b/>
                <w:sz w:val="18"/>
              </w:rPr>
              <w:t>Anti-Attack Design</w:t>
            </w:r>
          </w:p>
        </w:tc>
      </w:tr>
      <w:tr>
        <w:tc>
          <w:tcPr>
            <w:tcW w:type="dxa" w:w="2340"/>
          </w:tcPr>
          <w:p>
            <w:r>
              <w:rPr>
                <w:rFonts w:ascii="Arial" w:hAnsi="Arial"/>
                <w:sz w:val="18"/>
              </w:rPr>
              <w:t>Step 1: Biometric Collection</w:t>
            </w:r>
          </w:p>
        </w:tc>
        <w:tc>
          <w:tcPr>
            <w:tcW w:type="dxa" w:w="2340"/>
          </w:tcPr>
          <w:p>
            <w:r>
              <w:rPr>
                <w:rFonts w:ascii="Arial" w:hAnsi="Arial"/>
                <w:sz w:val="18"/>
              </w:rPr>
              <w:t>Collect iris and fingerprint at a certified center</w:t>
            </w:r>
          </w:p>
        </w:tc>
        <w:tc>
          <w:tcPr>
            <w:tcW w:type="dxa" w:w="2340"/>
          </w:tcPr>
          <w:p>
            <w:r>
              <w:rPr>
                <w:rFonts w:ascii="Arial" w:hAnsi="Arial"/>
                <w:sz w:val="18"/>
              </w:rPr>
              <w:t>Biometric hashing (original images not saved)</w:t>
            </w:r>
          </w:p>
        </w:tc>
        <w:tc>
          <w:tcPr>
            <w:tcW w:type="dxa" w:w="2340"/>
          </w:tcPr>
          <w:p>
            <w:r>
              <w:rPr>
                <w:rFonts w:ascii="Arial" w:hAnsi="Arial"/>
                <w:sz w:val="18"/>
              </w:rPr>
              <w:t>Original images deleted from device immediately after hashing; not uploaded</w:t>
            </w:r>
          </w:p>
        </w:tc>
      </w:tr>
      <w:tr>
        <w:tc>
          <w:tcPr>
            <w:tcW w:type="dxa" w:w="2340"/>
          </w:tcPr>
          <w:p>
            <w:r>
              <w:rPr>
                <w:rFonts w:ascii="Arial" w:hAnsi="Arial"/>
                <w:sz w:val="18"/>
              </w:rPr>
              <w:t>Step 2: Uniqueness Verification</w:t>
            </w:r>
          </w:p>
        </w:tc>
        <w:tc>
          <w:tcPr>
            <w:tcW w:type="dxa" w:w="2340"/>
          </w:tcPr>
          <w:p>
            <w:r>
              <w:rPr>
                <w:rFonts w:ascii="Arial" w:hAnsi="Arial"/>
                <w:sz w:val="18"/>
              </w:rPr>
              <w:t>Verify that this biometric is not already registered in the system</w:t>
            </w:r>
          </w:p>
        </w:tc>
        <w:tc>
          <w:tcPr>
            <w:tcW w:type="dxa" w:w="2340"/>
          </w:tcPr>
          <w:p>
            <w:r>
              <w:rPr>
                <w:rFonts w:ascii="Arial" w:hAnsi="Arial"/>
                <w:sz w:val="18"/>
              </w:rPr>
              <w:t>Zero-Knowledge Proof (ZKP) comparison against registered hash pool</w:t>
            </w:r>
          </w:p>
        </w:tc>
        <w:tc>
          <w:tcPr>
            <w:tcW w:type="dxa" w:w="2340"/>
          </w:tcPr>
          <w:p>
            <w:r>
              <w:rPr>
                <w:rFonts w:ascii="Arial" w:hAnsi="Arial"/>
                <w:sz w:val="18"/>
              </w:rPr>
              <w:t>Does not expose hash pool contents; ZKP mathematically proves uniqueness</w:t>
            </w:r>
          </w:p>
        </w:tc>
      </w:tr>
      <w:tr>
        <w:tc>
          <w:tcPr>
            <w:tcW w:type="dxa" w:w="2340"/>
          </w:tcPr>
          <w:p>
            <w:r>
              <w:rPr>
                <w:rFonts w:ascii="Arial" w:hAnsi="Arial"/>
                <w:sz w:val="18"/>
              </w:rPr>
              <w:t>Step 3: Document Verification</w:t>
            </w:r>
          </w:p>
        </w:tc>
        <w:tc>
          <w:tcPr>
            <w:tcW w:type="dxa" w:w="2340"/>
          </w:tcPr>
          <w:p>
            <w:r>
              <w:rPr>
                <w:rFonts w:ascii="Arial" w:hAnsi="Arial"/>
                <w:sz w:val="18"/>
              </w:rPr>
              <w:t>Verify existing government identity documents (passport/national ID)</w:t>
            </w:r>
          </w:p>
        </w:tc>
        <w:tc>
          <w:tcPr>
            <w:tcW w:type="dxa" w:w="2340"/>
          </w:tcPr>
          <w:p>
            <w:r>
              <w:rPr>
                <w:rFonts w:ascii="Arial" w:hAnsi="Arial"/>
                <w:sz w:val="18"/>
              </w:rPr>
              <w:t>AI document authenticity detection + issuing authority database verification</w:t>
            </w:r>
          </w:p>
        </w:tc>
        <w:tc>
          <w:tcPr>
            <w:tcW w:type="dxa" w:w="2340"/>
          </w:tcPr>
          <w:p>
            <w:r>
              <w:rPr>
                <w:rFonts w:ascii="Arial" w:hAnsi="Arial"/>
                <w:sz w:val="18"/>
              </w:rPr>
              <w:t>Multi-dimensional anti-forgery detection; rejects known forgery patterns</w:t>
            </w:r>
          </w:p>
        </w:tc>
      </w:tr>
      <w:tr>
        <w:tc>
          <w:tcPr>
            <w:tcW w:type="dxa" w:w="2340"/>
          </w:tcPr>
          <w:p>
            <w:r>
              <w:rPr>
                <w:rFonts w:ascii="Arial" w:hAnsi="Arial"/>
                <w:sz w:val="18"/>
              </w:rPr>
              <w:t>Step 4: Key Generation</w:t>
            </w:r>
          </w:p>
        </w:tc>
        <w:tc>
          <w:tcPr>
            <w:tcW w:type="dxa" w:w="2340"/>
          </w:tcPr>
          <w:p>
            <w:r>
              <w:rPr>
                <w:rFonts w:ascii="Arial" w:hAnsi="Arial"/>
                <w:sz w:val="18"/>
              </w:rPr>
              <w:t>Generate public-private key pair on user's local device</w:t>
            </w:r>
          </w:p>
        </w:tc>
        <w:tc>
          <w:tcPr>
            <w:tcW w:type="dxa" w:w="2340"/>
          </w:tcPr>
          <w:p>
            <w:r>
              <w:rPr>
                <w:rFonts w:ascii="Arial" w:hAnsi="Arial"/>
                <w:sz w:val="18"/>
              </w:rPr>
              <w:t>Asymmetric encryption (Ed25519 or equivalent algorithm)</w:t>
            </w:r>
          </w:p>
        </w:tc>
        <w:tc>
          <w:tcPr>
            <w:tcW w:type="dxa" w:w="2340"/>
          </w:tcPr>
          <w:p>
            <w:r>
              <w:rPr>
                <w:rFonts w:ascii="Arial" w:hAnsi="Arial"/>
                <w:sz w:val="18"/>
              </w:rPr>
              <w:t>Keys generated locally; city servers never touch private keys</w:t>
            </w:r>
          </w:p>
        </w:tc>
      </w:tr>
      <w:tr>
        <w:tc>
          <w:tcPr>
            <w:tcW w:type="dxa" w:w="2340"/>
          </w:tcPr>
          <w:p>
            <w:r>
              <w:rPr>
                <w:rFonts w:ascii="Arial" w:hAnsi="Arial"/>
                <w:sz w:val="18"/>
              </w:rPr>
              <w:t>Step 5: On-chain Activation</w:t>
            </w:r>
          </w:p>
        </w:tc>
        <w:tc>
          <w:tcPr>
            <w:tcW w:type="dxa" w:w="2340"/>
          </w:tcPr>
          <w:p>
            <w:r>
              <w:rPr>
                <w:rFonts w:ascii="Arial" w:hAnsi="Arial"/>
                <w:sz w:val="18"/>
              </w:rPr>
              <w:t>Anchor citizen ID hash and public key to blockchain</w:t>
            </w:r>
          </w:p>
        </w:tc>
        <w:tc>
          <w:tcPr>
            <w:tcW w:type="dxa" w:w="2340"/>
          </w:tcPr>
          <w:p>
            <w:r>
              <w:rPr>
                <w:rFonts w:ascii="Arial" w:hAnsi="Arial"/>
                <w:sz w:val="18"/>
              </w:rPr>
              <w:t>Blockchain immutable records</w:t>
            </w:r>
          </w:p>
        </w:tc>
        <w:tc>
          <w:tcPr>
            <w:tcW w:type="dxa" w:w="2340"/>
          </w:tcPr>
          <w:p>
            <w:r>
              <w:rPr>
                <w:rFonts w:ascii="Arial" w:hAnsi="Arial"/>
                <w:sz w:val="18"/>
              </w:rPr>
              <w:t>Multi-node confirmation; single node cannot forge registration records</w:t>
            </w:r>
          </w:p>
        </w:tc>
      </w:tr>
    </w:tbl>
    <w:p>
      <w:r>
        <w:rPr>
          <w:rFonts w:ascii="Arial" w:hAnsi="Arial"/>
          <w:b/>
          <w:sz w:val="22"/>
        </w:rPr>
        <w:t>Alternative Path for Those Without Government Documents</w:t>
      </w:r>
    </w:p>
    <w:p>
      <w:r>
        <w:rPr>
          <w:rFonts w:ascii="Arial" w:hAnsi="Arial"/>
          <w:sz w:val="22"/>
        </w:rPr>
        <w:t>In some potential deployment regions (certain Pacific island nations, rural areas of Africa), a significant proportion of residents lack reliable government identity documents. Mandating government documents would systematically exclude these people from the AI governance system, creating new inequalities.</w:t>
      </w:r>
    </w:p>
    <w:p>
      <w:r>
        <w:rPr>
          <w:rFonts w:ascii="Arial" w:hAnsi="Arial"/>
          <w:sz w:val="22"/>
        </w:rPr>
        <w:t>Alternative path designs:</w:t>
      </w:r>
    </w:p>
    <w:p>
      <w:pPr>
        <w:pStyle w:val="ListBullet"/>
      </w:pPr>
      <w:r>
        <w:rPr>
          <w:rFonts w:ascii="Arial" w:hAnsi="Arial"/>
          <w:b/>
          <w:sz w:val="22"/>
        </w:rPr>
        <w:t>Community Guarantee Path:</w:t>
      </w:r>
      <w:r>
        <w:rPr>
          <w:rFonts w:ascii="Arial" w:hAnsi="Arial"/>
          <w:sz w:val="22"/>
        </w:rPr>
        <w:t xml:space="preserve"> At least five already-registered AI-Citizen ID citizens provide joint guarantee, along with verifiable proof of residence (neighbor testimony, community organization records, etc.). Guarantors' reputation scores are affected by any future confirmed false guarantee, creating an integrity constraint.</w:t>
      </w:r>
    </w:p>
    <w:p>
      <w:pPr>
        <w:pStyle w:val="ListBullet"/>
      </w:pPr>
      <w:r>
        <w:rPr>
          <w:rFonts w:ascii="Arial" w:hAnsi="Arial"/>
          <w:b/>
          <w:sz w:val="22"/>
        </w:rPr>
        <w:t>Extended Observation Period Path:</w:t>
      </w:r>
      <w:r>
        <w:rPr>
          <w:rFonts w:ascii="Arial" w:hAnsi="Arial"/>
          <w:sz w:val="22"/>
        </w:rPr>
        <w:t xml:space="preserve"> For applicants who cannot provide documents and lack sufficient guarantors, provide 12-month observer-resident status (with access to basic services but no voting rights), converting to full citizenship after sufficient behavioral records are established during this period.</w:t>
      </w:r>
    </w:p>
    <w:p>
      <w:pPr>
        <w:pStyle w:val="ListBullet"/>
      </w:pPr>
      <w:r>
        <w:rPr>
          <w:rFonts w:ascii="Arial" w:hAnsi="Arial"/>
          <w:b/>
          <w:sz w:val="22"/>
        </w:rPr>
        <w:t>Biometrics-First Path:</w:t>
      </w:r>
      <w:r>
        <w:rPr>
          <w:rFonts w:ascii="Arial" w:hAnsi="Arial"/>
          <w:sz w:val="22"/>
        </w:rPr>
        <w:t xml:space="preserve"> For regions with historically incomplete identity record systems, allow biometrics as the primary uniqueness proof, supplemented by community attestation, to establish AI-Citizen ID.</w:t>
      </w:r>
    </w:p>
    <w:p>
      <w:r>
        <w:rPr>
          <w:rFonts w:ascii="Arial" w:hAnsi="Arial"/>
          <w:b/>
          <w:sz w:val="22"/>
        </w:rPr>
        <w:t>6.5 Six Functional Modules: From Identity to Rights</w:t>
      </w:r>
    </w:p>
    <w:p>
      <w:r>
        <w:rPr>
          <w:rFonts w:ascii="Arial" w:hAnsi="Arial"/>
          <w:sz w:val="22"/>
        </w:rPr>
        <w:t>AI-Citizen ID is not merely a digital document—it is the complete interface through which citizens interact with the city governance system. Six functional modules cover the core domains of civic life:</w:t>
      </w:r>
    </w:p>
    <w:p>
      <w:r>
        <w:rPr>
          <w:rFonts w:ascii="Arial" w:hAnsi="Arial"/>
          <w:b/>
          <w:sz w:val="22"/>
        </w:rPr>
        <w:t>Module 1: Democratic Participation</w:t>
      </w:r>
    </w:p>
    <w:tbl>
      <w:tblPr>
        <w:tblStyle w:val="LightShading-Accent1"/>
        <w:tblW w:type="auto" w:w="0"/>
        <w:tblLook w:firstColumn="1" w:firstRow="1" w:lastColumn="0" w:lastRow="0" w:noHBand="0" w:noVBand="1" w:val="04A0"/>
      </w:tblPr>
      <w:tblGrid>
        <w:gridCol w:w="4680"/>
        <w:gridCol w:w="4680"/>
      </w:tblGrid>
      <w:tr>
        <w:tc>
          <w:tcPr>
            <w:tcW w:type="dxa" w:w="4680"/>
          </w:tcPr>
          <w:p>
            <w:r>
              <w:rPr>
                <w:rFonts w:ascii="Arial" w:hAnsi="Arial"/>
                <w:b/>
                <w:sz w:val="18"/>
              </w:rPr>
              <w:t>Function</w:t>
            </w:r>
          </w:p>
        </w:tc>
        <w:tc>
          <w:tcPr>
            <w:tcW w:type="dxa" w:w="4680"/>
          </w:tcPr>
          <w:p>
            <w:r>
              <w:rPr>
                <w:rFonts w:ascii="Arial" w:hAnsi="Arial"/>
                <w:b/>
                <w:sz w:val="18"/>
              </w:rPr>
              <w:t>Design Details</w:t>
            </w:r>
          </w:p>
        </w:tc>
      </w:tr>
      <w:tr>
        <w:tc>
          <w:tcPr>
            <w:tcW w:type="dxa" w:w="4680"/>
          </w:tcPr>
          <w:p>
            <w:r>
              <w:rPr>
                <w:rFonts w:ascii="Arial" w:hAnsi="Arial"/>
                <w:sz w:val="18"/>
              </w:rPr>
              <w:t>Voting Rights</w:t>
            </w:r>
          </w:p>
        </w:tc>
        <w:tc>
          <w:tcPr>
            <w:tcW w:type="dxa" w:w="4680"/>
          </w:tcPr>
          <w:p>
            <w:r>
              <w:rPr>
                <w:rFonts w:ascii="Arial" w:hAnsi="Arial"/>
                <w:sz w:val="18"/>
              </w:rPr>
              <w:t>Automatically effective after 90 days of residence, no application required; one person one vote, real-time biometric verification, technically non-transferable</w:t>
            </w:r>
          </w:p>
        </w:tc>
      </w:tr>
      <w:tr>
        <w:tc>
          <w:tcPr>
            <w:tcW w:type="dxa" w:w="4680"/>
          </w:tcPr>
          <w:p>
            <w:r>
              <w:rPr>
                <w:rFonts w:ascii="Arial" w:hAnsi="Arial"/>
                <w:sz w:val="18"/>
              </w:rPr>
              <w:t>Proposal Rights</w:t>
            </w:r>
          </w:p>
        </w:tc>
        <w:tc>
          <w:tcPr>
            <w:tcW w:type="dxa" w:w="4680"/>
          </w:tcPr>
          <w:p>
            <w:r>
              <w:rPr>
                <w:rFonts w:ascii="Arial" w:hAnsi="Arial"/>
                <w:sz w:val="18"/>
              </w:rPr>
              <w:t>Individual initiation: requires ≥1% of citizens' co-signatures; sufficient equity: can directly initiate a bill</w:t>
            </w:r>
          </w:p>
        </w:tc>
      </w:tr>
      <w:tr>
        <w:tc>
          <w:tcPr>
            <w:tcW w:type="dxa" w:w="4680"/>
          </w:tcPr>
          <w:p>
            <w:r>
              <w:rPr>
                <w:rFonts w:ascii="Arial" w:hAnsi="Arial"/>
                <w:sz w:val="18"/>
              </w:rPr>
              <w:t>Jury Eligibility</w:t>
            </w:r>
          </w:p>
        </w:tc>
        <w:tc>
          <w:tcPr>
            <w:tcW w:type="dxa" w:w="4680"/>
          </w:tcPr>
          <w:p>
            <w:r>
              <w:rPr>
                <w:rFonts w:ascii="Arial" w:hAnsi="Arial"/>
                <w:sz w:val="18"/>
              </w:rPr>
              <w:t>Automatically included in qualified juror pool; conflicts of interest automatically filtered; can apply for exemption from specific case types</w:t>
            </w:r>
          </w:p>
        </w:tc>
      </w:tr>
    </w:tbl>
    <w:p>
      <w:r>
        <w:rPr>
          <w:rFonts w:ascii="Arial" w:hAnsi="Arial"/>
          <w:b/>
          <w:sz w:val="22"/>
        </w:rPr>
        <w:t>Module 2: Social Contribution Value</w:t>
      </w:r>
    </w:p>
    <w:p>
      <w:r>
        <w:rPr>
          <w:rFonts w:ascii="Arial" w:hAnsi="Arial"/>
          <w:sz w:val="22"/>
        </w:rPr>
        <w:t>Social Contribution Value (SCV) is the most nuanced design element in AI-Citizen ID, because it involves the quantification of human behavior—and quantification itself is power. The design principle is: only objectively verifiable actions are measured, with no subjective value judgments.</w:t>
      </w:r>
    </w:p>
    <w:tbl>
      <w:tblPr>
        <w:tblStyle w:val="LightShading-Accent1"/>
        <w:tblW w:type="auto" w:w="0"/>
        <w:tblLook w:firstColumn="1" w:firstRow="1" w:lastColumn="0" w:lastRow="0" w:noHBand="0" w:noVBand="1" w:val="04A0"/>
      </w:tblPr>
      <w:tblGrid>
        <w:gridCol w:w="2340"/>
        <w:gridCol w:w="2340"/>
        <w:gridCol w:w="2340"/>
        <w:gridCol w:w="2340"/>
      </w:tblGrid>
      <w:tr>
        <w:tc>
          <w:tcPr>
            <w:tcW w:type="dxa" w:w="2340"/>
          </w:tcPr>
          <w:p>
            <w:r>
              <w:rPr>
                <w:rFonts w:ascii="Arial" w:hAnsi="Arial"/>
                <w:b/>
                <w:sz w:val="18"/>
              </w:rPr>
              <w:t>Contribution Type</w:t>
            </w:r>
          </w:p>
        </w:tc>
        <w:tc>
          <w:tcPr>
            <w:tcW w:type="dxa" w:w="2340"/>
          </w:tcPr>
          <w:p>
            <w:r>
              <w:rPr>
                <w:rFonts w:ascii="Arial" w:hAnsi="Arial"/>
                <w:b/>
                <w:sz w:val="18"/>
              </w:rPr>
              <w:t>Measurement Method</w:t>
            </w:r>
          </w:p>
        </w:tc>
        <w:tc>
          <w:tcPr>
            <w:tcW w:type="dxa" w:w="2340"/>
          </w:tcPr>
          <w:p>
            <w:r>
              <w:rPr>
                <w:rFonts w:ascii="Arial" w:hAnsi="Arial"/>
                <w:b/>
                <w:sz w:val="18"/>
              </w:rPr>
              <w:t>Verification Mechanism</w:t>
            </w:r>
          </w:p>
        </w:tc>
        <w:tc>
          <w:tcPr>
            <w:tcW w:type="dxa" w:w="2340"/>
          </w:tcPr>
          <w:p>
            <w:r>
              <w:rPr>
                <w:rFonts w:ascii="Arial" w:hAnsi="Arial"/>
                <w:b/>
                <w:sz w:val="18"/>
              </w:rPr>
              <w:t>Cap</w:t>
            </w:r>
          </w:p>
        </w:tc>
      </w:tr>
      <w:tr>
        <w:tc>
          <w:tcPr>
            <w:tcW w:type="dxa" w:w="2340"/>
          </w:tcPr>
          <w:p>
            <w:r>
              <w:rPr>
                <w:rFonts w:ascii="Arial" w:hAnsi="Arial"/>
                <w:sz w:val="18"/>
              </w:rPr>
              <w:t>Volunteer Service</w:t>
            </w:r>
          </w:p>
        </w:tc>
        <w:tc>
          <w:tcPr>
            <w:tcW w:type="dxa" w:w="2340"/>
          </w:tcPr>
          <w:p>
            <w:r>
              <w:rPr>
                <w:rFonts w:ascii="Arial" w:hAnsi="Arial"/>
                <w:sz w:val="18"/>
              </w:rPr>
              <w:t>Hours</w:t>
            </w:r>
          </w:p>
        </w:tc>
        <w:tc>
          <w:tcPr>
            <w:tcW w:type="dxa" w:w="2340"/>
          </w:tcPr>
          <w:p>
            <w:r>
              <w:rPr>
                <w:rFonts w:ascii="Arial" w:hAnsi="Arial"/>
                <w:sz w:val="18"/>
              </w:rPr>
              <w:t>Activity organizer plus at least 2 participants' on-chain signatures</w:t>
            </w:r>
          </w:p>
        </w:tc>
        <w:tc>
          <w:tcPr>
            <w:tcW w:type="dxa" w:w="2340"/>
          </w:tcPr>
          <w:p>
            <w:r>
              <w:rPr>
                <w:rFonts w:ascii="Arial" w:hAnsi="Arial"/>
                <w:sz w:val="18"/>
              </w:rPr>
              <w:t>200 hours per year</w:t>
            </w:r>
          </w:p>
        </w:tc>
      </w:tr>
      <w:tr>
        <w:tc>
          <w:tcPr>
            <w:tcW w:type="dxa" w:w="2340"/>
          </w:tcPr>
          <w:p>
            <w:r>
              <w:rPr>
                <w:rFonts w:ascii="Arial" w:hAnsi="Arial"/>
                <w:sz w:val="18"/>
              </w:rPr>
              <w:t>Open Source Technical Contributions</w:t>
            </w:r>
          </w:p>
        </w:tc>
        <w:tc>
          <w:tcPr>
            <w:tcW w:type="dxa" w:w="2340"/>
          </w:tcPr>
          <w:p>
            <w:r>
              <w:rPr>
                <w:rFonts w:ascii="Arial" w:hAnsi="Arial"/>
                <w:sz w:val="18"/>
              </w:rPr>
              <w:t>GitHub/GitLab commit records</w:t>
            </w:r>
          </w:p>
        </w:tc>
        <w:tc>
          <w:tcPr>
            <w:tcW w:type="dxa" w:w="2340"/>
          </w:tcPr>
          <w:p>
            <w:r>
              <w:rPr>
                <w:rFonts w:ascii="Arial" w:hAnsi="Arial"/>
                <w:sz w:val="18"/>
              </w:rPr>
              <w:t>Automatic extraction from code platform public data</w:t>
            </w:r>
          </w:p>
        </w:tc>
        <w:tc>
          <w:tcPr>
            <w:tcW w:type="dxa" w:w="2340"/>
          </w:tcPr>
          <w:p>
            <w:r>
              <w:rPr>
                <w:rFonts w:ascii="Arial" w:hAnsi="Arial"/>
                <w:sz w:val="18"/>
              </w:rPr>
              <w:t>No hard cap</w:t>
            </w:r>
          </w:p>
        </w:tc>
      </w:tr>
      <w:tr>
        <w:tc>
          <w:tcPr>
            <w:tcW w:type="dxa" w:w="2340"/>
          </w:tcPr>
          <w:p>
            <w:r>
              <w:rPr>
                <w:rFonts w:ascii="Arial" w:hAnsi="Arial"/>
                <w:sz w:val="18"/>
              </w:rPr>
              <w:t>Civic Education</w:t>
            </w:r>
          </w:p>
        </w:tc>
        <w:tc>
          <w:tcPr>
            <w:tcW w:type="dxa" w:w="2340"/>
          </w:tcPr>
          <w:p>
            <w:r>
              <w:rPr>
                <w:rFonts w:ascii="Arial" w:hAnsi="Arial"/>
                <w:sz w:val="18"/>
              </w:rPr>
              <w:t>Hours organizing or participating in civic education activities</w:t>
            </w:r>
          </w:p>
        </w:tc>
        <w:tc>
          <w:tcPr>
            <w:tcW w:type="dxa" w:w="2340"/>
          </w:tcPr>
          <w:p>
            <w:r>
              <w:rPr>
                <w:rFonts w:ascii="Arial" w:hAnsi="Arial"/>
                <w:sz w:val="18"/>
              </w:rPr>
              <w:t>Activity records plus participant ratings</w:t>
            </w:r>
          </w:p>
        </w:tc>
        <w:tc>
          <w:tcPr>
            <w:tcW w:type="dxa" w:w="2340"/>
          </w:tcPr>
          <w:p>
            <w:r>
              <w:rPr>
                <w:rFonts w:ascii="Arial" w:hAnsi="Arial"/>
                <w:sz w:val="18"/>
              </w:rPr>
              <w:t>100 hours per year</w:t>
            </w:r>
          </w:p>
        </w:tc>
      </w:tr>
      <w:tr>
        <w:tc>
          <w:tcPr>
            <w:tcW w:type="dxa" w:w="2340"/>
          </w:tcPr>
          <w:p>
            <w:r>
              <w:rPr>
                <w:rFonts w:ascii="Arial" w:hAnsi="Arial"/>
                <w:sz w:val="18"/>
              </w:rPr>
              <w:t>Community Mediation</w:t>
            </w:r>
          </w:p>
        </w:tc>
        <w:tc>
          <w:tcPr>
            <w:tcW w:type="dxa" w:w="2340"/>
          </w:tcPr>
          <w:p>
            <w:r>
              <w:rPr>
                <w:rFonts w:ascii="Arial" w:hAnsi="Arial"/>
                <w:sz w:val="18"/>
              </w:rPr>
              <w:t>Number of successfully mediated disputes</w:t>
            </w:r>
          </w:p>
        </w:tc>
        <w:tc>
          <w:tcPr>
            <w:tcW w:type="dxa" w:w="2340"/>
          </w:tcPr>
          <w:p>
            <w:r>
              <w:rPr>
                <w:rFonts w:ascii="Arial" w:hAnsi="Arial"/>
                <w:sz w:val="18"/>
              </w:rPr>
              <w:t>Confirmed jointly by both parties</w:t>
            </w:r>
          </w:p>
        </w:tc>
        <w:tc>
          <w:tcPr>
            <w:tcW w:type="dxa" w:w="2340"/>
          </w:tcPr>
          <w:p>
            <w:r>
              <w:rPr>
                <w:rFonts w:ascii="Arial" w:hAnsi="Arial"/>
                <w:sz w:val="18"/>
              </w:rPr>
              <w:t>20 cases per year</w:t>
            </w:r>
          </w:p>
        </w:tc>
      </w:tr>
      <w:tr>
        <w:tc>
          <w:tcPr>
            <w:tcW w:type="dxa" w:w="2340"/>
          </w:tcPr>
          <w:p>
            <w:r>
              <w:rPr>
                <w:rFonts w:ascii="Arial" w:hAnsi="Arial"/>
                <w:sz w:val="18"/>
              </w:rPr>
              <w:t>Emergency Response</w:t>
            </w:r>
          </w:p>
        </w:tc>
        <w:tc>
          <w:tcPr>
            <w:tcW w:type="dxa" w:w="2340"/>
          </w:tcPr>
          <w:p>
            <w:r>
              <w:rPr>
                <w:rFonts w:ascii="Arial" w:hAnsi="Arial"/>
                <w:sz w:val="18"/>
              </w:rPr>
              <w:t>Disaster or emergency response records</w:t>
            </w:r>
          </w:p>
        </w:tc>
        <w:tc>
          <w:tcPr>
            <w:tcW w:type="dxa" w:w="2340"/>
          </w:tcPr>
          <w:p>
            <w:r>
              <w:rPr>
                <w:rFonts w:ascii="Arial" w:hAnsi="Arial"/>
                <w:sz w:val="18"/>
              </w:rPr>
              <w:t>Official records plus on-site verification</w:t>
            </w:r>
          </w:p>
        </w:tc>
        <w:tc>
          <w:tcPr>
            <w:tcW w:type="dxa" w:w="2340"/>
          </w:tcPr>
          <w:p>
            <w:r>
              <w:rPr>
                <w:rFonts w:ascii="Arial" w:hAnsi="Arial"/>
                <w:sz w:val="18"/>
              </w:rPr>
              <w:t>Event-driven</w:t>
            </w:r>
          </w:p>
        </w:tc>
      </w:tr>
    </w:tbl>
    <w:p>
      <w:r>
        <w:rPr>
          <w:rFonts w:ascii="Arial" w:hAnsi="Arial"/>
          <w:b/>
          <w:sz w:val="22"/>
        </w:rPr>
        <w:t>Anti-Fraud Scoring Mechanism:</w:t>
      </w:r>
      <w:r>
        <w:rPr>
          <w:rFonts w:ascii="Arial" w:hAnsi="Arial"/>
          <w:sz w:val="22"/>
        </w:rPr>
        <w:t xml:space="preserve"> Each type of contribution requires independent third-party verification, and organizers are bound by platform reputation constraints (false reporting would damage their own reputation scores). The system automatically flags statistical anomalies—a single individual declaring a large volume of contributions within one week triggers manual review. The contribution verification period is set at 30 days, during which objections may be raised.</w:t>
      </w:r>
    </w:p>
    <w:p>
      <w:r>
        <w:rPr>
          <w:rFonts w:ascii="Arial" w:hAnsi="Arial"/>
          <w:b/>
          <w:sz w:val="22"/>
        </w:rPr>
        <w:t>Module 3: Reputation Score</w:t>
      </w:r>
    </w:p>
    <w:p>
      <w:r>
        <w:rPr>
          <w:rFonts w:ascii="Arial" w:hAnsi="Arial"/>
          <w:sz w:val="22"/>
        </w:rPr>
        <w:t>The Reputation Score records citizens' integrity performance in on-chain interactions and is used for commercial credit scenarios. The design incorporates two absolute red lines:</w:t>
      </w:r>
    </w:p>
    <w:p>
      <w:pPr>
        <w:pStyle w:val="ListBullet"/>
      </w:pPr>
      <w:r>
        <w:rPr>
          <w:rFonts w:ascii="Arial" w:hAnsi="Arial"/>
          <w:b/>
          <w:sz w:val="22"/>
        </w:rPr>
        <w:t>Red Line One:</w:t>
      </w:r>
      <w:r>
        <w:rPr>
          <w:rFonts w:ascii="Arial" w:hAnsi="Arial"/>
          <w:sz w:val="22"/>
        </w:rPr>
        <w:t xml:space="preserve"> Reputation scores do not affect any constitutionally guaranteed fundamental rights (voting rights, UBI eligibility, judicial protection, healthcare, and education rights). These rights remain unaffected regardless of how low the reputation score may be.</w:t>
      </w:r>
    </w:p>
    <w:p>
      <w:pPr>
        <w:pStyle w:val="ListBullet"/>
      </w:pPr>
      <w:r>
        <w:rPr>
          <w:rFonts w:ascii="Arial" w:hAnsi="Arial"/>
          <w:b/>
          <w:sz w:val="22"/>
        </w:rPr>
        <w:t>Red Line Two:</w:t>
      </w:r>
      <w:r>
        <w:rPr>
          <w:rFonts w:ascii="Arial" w:hAnsi="Arial"/>
          <w:sz w:val="22"/>
        </w:rPr>
        <w:t xml:space="preserve"> The reputation scoring model is open-source, with fully transparent scoring logic. Citizens can review every event record that affects their reputation score and raise objections to disputed records.</w:t>
      </w:r>
    </w:p>
    <w:p>
      <w:r>
        <w:rPr>
          <w:rFonts w:ascii="Arial" w:hAnsi="Arial"/>
          <w:sz w:val="22"/>
        </w:rPr>
        <w:t>Scenarios affected by reputation scores are limited to: unsecured loan limits, admission thresholds for specific commercial services, and contract guarantee requirements. Its function is similar to existing credit scoring systems, but with far greater transparency and without the potential for abuse as a political or social control tool.</w:t>
      </w:r>
    </w:p>
    <w:p>
      <w:r>
        <w:rPr>
          <w:rFonts w:ascii="Arial" w:hAnsi="Arial"/>
          <w:b/>
          <w:sz w:val="22"/>
        </w:rPr>
        <w:t>Module 4: Asset and Equity Management</w:t>
      </w:r>
    </w:p>
    <w:p>
      <w:r>
        <w:rPr>
          <w:rFonts w:ascii="Arial" w:hAnsi="Arial"/>
          <w:sz w:val="22"/>
        </w:rPr>
        <w:t>The AI-Citizen ID serves as the interface for citizens' digital asset management, including:</w:t>
      </w:r>
    </w:p>
    <w:p>
      <w:pPr>
        <w:pStyle w:val="ListBullet"/>
      </w:pPr>
      <w:r>
        <w:rPr>
          <w:rFonts w:ascii="Arial" w:hAnsi="Arial"/>
          <w:b/>
          <w:sz w:val="22"/>
        </w:rPr>
        <w:t>On-chain property records:</w:t>
      </w:r>
      <w:r>
        <w:rPr>
          <w:rFonts w:ascii="Arial" w:hAnsi="Arial"/>
          <w:sz w:val="22"/>
        </w:rPr>
        <w:t xml:space="preserve"> Ownership documentation for real estate and digital assets, available for financing collateral (with authorized consent)</w:t>
      </w:r>
    </w:p>
    <w:p>
      <w:pPr>
        <w:pStyle w:val="ListBullet"/>
      </w:pPr>
      <w:r>
        <w:rPr>
          <w:rFonts w:ascii="Arial" w:hAnsi="Arial"/>
          <w:b/>
          <w:sz w:val="22"/>
        </w:rPr>
        <w:t>Digital equity accounts:</w:t>
      </w:r>
      <w:r>
        <w:rPr>
          <w:rFonts w:ascii="Arial" w:hAnsi="Arial"/>
          <w:sz w:val="22"/>
        </w:rPr>
        <w:t xml:space="preserve"> Records of city AI system equity shares, annual dividend history, and historical changes</w:t>
      </w:r>
    </w:p>
    <w:p>
      <w:pPr>
        <w:pStyle w:val="ListBullet"/>
      </w:pPr>
      <w:r>
        <w:rPr>
          <w:rFonts w:ascii="Arial" w:hAnsi="Arial"/>
          <w:b/>
          <w:sz w:val="22"/>
        </w:rPr>
        <w:t>UBI accounts:</w:t>
      </w:r>
      <w:r>
        <w:rPr>
          <w:rFonts w:ascii="Arial" w:hAnsi="Arial"/>
          <w:sz w:val="22"/>
        </w:rPr>
        <w:t xml:space="preserve"> Monthly disbursement records, tenure coefficients, and real-time status of contribution adjustment coefficients</w:t>
      </w:r>
    </w:p>
    <w:p>
      <w:pPr>
        <w:pStyle w:val="ListBullet"/>
      </w:pPr>
      <w:r>
        <w:rPr>
          <w:rFonts w:ascii="Arial" w:hAnsi="Arial"/>
          <w:b/>
          <w:sz w:val="22"/>
        </w:rPr>
        <w:t>Tax records:</w:t>
      </w:r>
      <w:r>
        <w:rPr>
          <w:rFonts w:ascii="Arial" w:hAnsi="Arial"/>
          <w:sz w:val="22"/>
        </w:rPr>
        <w:t xml:space="preserve"> AI labor tax payment records (for business owners operating AI applications); verifiable on-chain with automatic filing</w:t>
      </w:r>
    </w:p>
    <w:p>
      <w:r>
        <w:rPr>
          <w:rFonts w:ascii="Arial" w:hAnsi="Arial"/>
          <w:b/>
          <w:sz w:val="22"/>
        </w:rPr>
        <w:t>Module 5: Education and Skills Certification</w:t>
      </w:r>
    </w:p>
    <w:p>
      <w:r>
        <w:rPr>
          <w:rFonts w:ascii="Arial" w:hAnsi="Arial"/>
          <w:sz w:val="22"/>
        </w:rPr>
        <w:t>The fundamental problems with traditional academic credentials are: difficulty in rapid verification, susceptibility to forgery, and inability to reflect specific competencies. The education certification module of AI-Citizen ID addresses all three issues:</w:t>
      </w:r>
    </w:p>
    <w:p>
      <w:pPr>
        <w:pStyle w:val="ListBullet"/>
      </w:pPr>
      <w:r>
        <w:rPr>
          <w:rFonts w:ascii="Arial" w:hAnsi="Arial"/>
          <w:b/>
          <w:sz w:val="22"/>
        </w:rPr>
        <w:t>Institution-issued on-chain certificates:</w:t>
      </w:r>
      <w:r>
        <w:rPr>
          <w:rFonts w:ascii="Arial" w:hAnsi="Arial"/>
          <w:sz w:val="22"/>
        </w:rPr>
        <w:t xml:space="preserve"> Certificates issued by universities and training institutions are written directly to citizens' ID education modules; institutional digital signatures ensure authenticity, and anyone can verify them within seconds</w:t>
      </w:r>
    </w:p>
    <w:p>
      <w:pPr>
        <w:pStyle w:val="ListBullet"/>
      </w:pPr>
      <w:r>
        <w:rPr>
          <w:rFonts w:ascii="Arial" w:hAnsi="Arial"/>
          <w:b/>
          <w:sz w:val="22"/>
        </w:rPr>
        <w:t>Competence over credentials:</w:t>
      </w:r>
      <w:r>
        <w:rPr>
          <w:rFonts w:ascii="Arial" w:hAnsi="Arial"/>
          <w:sz w:val="22"/>
        </w:rPr>
        <w:t xml:space="preserve"> Beyond traditional academic degrees, support for skills assessment institutions to issue specific competency certifications (programming proficiency, language abilities, professional qualifications, etc.)</w:t>
      </w:r>
    </w:p>
    <w:p>
      <w:pPr>
        <w:pStyle w:val="ListBullet"/>
      </w:pPr>
      <w:r>
        <w:rPr>
          <w:rFonts w:ascii="Arial" w:hAnsi="Arial"/>
          <w:b/>
          <w:sz w:val="22"/>
        </w:rPr>
        <w:t>Foundation for global mutual recognition:</w:t>
      </w:r>
      <w:r>
        <w:rPr>
          <w:rFonts w:ascii="Arial" w:hAnsi="Arial"/>
          <w:sz w:val="22"/>
        </w:rPr>
        <w:t xml:space="preserve"> Education certifications follow unified technical standards at the consortium level, providing a foundation for future cross-city and cross-border certification mutual recognition</w:t>
      </w:r>
    </w:p>
    <w:p>
      <w:r>
        <w:rPr>
          <w:rFonts w:ascii="Arial" w:hAnsi="Arial"/>
          <w:b/>
          <w:sz w:val="22"/>
        </w:rPr>
        <w:t>Module 6: Cross-City Migration</w:t>
      </w:r>
    </w:p>
    <w:p>
      <w:r>
        <w:rPr>
          <w:rFonts w:ascii="Arial" w:hAnsi="Arial"/>
          <w:sz w:val="22"/>
        </w:rPr>
        <w:t>This is the function that most demonstrates the system network effect of AI-Citizen ID. When all alliance cities adopt compatible ID protocols, citizen migration between cities can be truly seamless:</w:t>
      </w:r>
    </w:p>
    <w:tbl>
      <w:tblPr>
        <w:tblStyle w:val="LightShading-Accent1"/>
        <w:tblW w:type="auto" w:w="0"/>
        <w:tblLook w:firstColumn="1" w:firstRow="1" w:lastColumn="0" w:lastRow="0" w:noHBand="0" w:noVBand="1" w:val="04A0"/>
      </w:tblPr>
      <w:tblGrid>
        <w:gridCol w:w="2340"/>
        <w:gridCol w:w="2340"/>
        <w:gridCol w:w="2340"/>
        <w:gridCol w:w="2340"/>
      </w:tblGrid>
      <w:tr>
        <w:tc>
          <w:tcPr>
            <w:tcW w:type="dxa" w:w="2340"/>
          </w:tcPr>
          <w:p>
            <w:r>
              <w:rPr>
                <w:rFonts w:ascii="Arial" w:hAnsi="Arial"/>
                <w:b/>
                <w:sz w:val="18"/>
              </w:rPr>
              <w:t>Migration Scenario</w:t>
            </w:r>
          </w:p>
        </w:tc>
        <w:tc>
          <w:tcPr>
            <w:tcW w:type="dxa" w:w="2340"/>
          </w:tcPr>
          <w:p>
            <w:r>
              <w:rPr>
                <w:rFonts w:ascii="Arial" w:hAnsi="Arial"/>
                <w:b/>
                <w:sz w:val="18"/>
              </w:rPr>
              <w:t>Processing Time</w:t>
            </w:r>
          </w:p>
        </w:tc>
        <w:tc>
          <w:tcPr>
            <w:tcW w:type="dxa" w:w="2340"/>
          </w:tcPr>
          <w:p>
            <w:r>
              <w:rPr>
                <w:rFonts w:ascii="Arial" w:hAnsi="Arial"/>
                <w:b/>
                <w:sz w:val="18"/>
              </w:rPr>
              <w:t>Required Actions</w:t>
            </w:r>
          </w:p>
        </w:tc>
        <w:tc>
          <w:tcPr>
            <w:tcW w:type="dxa" w:w="2340"/>
          </w:tcPr>
          <w:p>
            <w:r>
              <w:rPr>
                <w:rFonts w:ascii="Arial" w:hAnsi="Arial"/>
                <w:b/>
                <w:sz w:val="18"/>
              </w:rPr>
              <w:t>Retained Rights</w:t>
            </w:r>
          </w:p>
        </w:tc>
      </w:tr>
      <w:tr>
        <w:tc>
          <w:tcPr>
            <w:tcW w:type="dxa" w:w="2340"/>
          </w:tcPr>
          <w:p>
            <w:r>
              <w:rPr>
                <w:rFonts w:ascii="Arial" w:hAnsi="Arial"/>
                <w:sz w:val="18"/>
              </w:rPr>
              <w:t>Migration between alliance cities</w:t>
            </w:r>
          </w:p>
        </w:tc>
        <w:tc>
          <w:tcPr>
            <w:tcW w:type="dxa" w:w="2340"/>
          </w:tcPr>
          <w:p>
            <w:r>
              <w:rPr>
                <w:rFonts w:ascii="Arial" w:hAnsi="Arial"/>
                <w:sz w:val="18"/>
              </w:rPr>
              <w:t>&lt;24 hours</w:t>
            </w:r>
          </w:p>
        </w:tc>
        <w:tc>
          <w:tcPr>
            <w:tcW w:type="dxa" w:w="2340"/>
          </w:tcPr>
          <w:p>
            <w:r>
              <w:rPr>
                <w:rFonts w:ascii="Arial" w:hAnsi="Arial"/>
                <w:sz w:val="18"/>
              </w:rPr>
              <w:t>Biometric verification + new city activation</w:t>
            </w:r>
          </w:p>
        </w:tc>
        <w:tc>
          <w:tcPr>
            <w:tcW w:type="dxa" w:w="2340"/>
          </w:tcPr>
          <w:p>
            <w:r>
              <w:rPr>
                <w:rFonts w:ascii="Arial" w:hAnsi="Arial"/>
                <w:sz w:val="18"/>
              </w:rPr>
              <w:t>Voting rights (after 90 days of residence), UBI (immediate, at new city standards), 70% equity transfer</w:t>
            </w:r>
          </w:p>
        </w:tc>
      </w:tr>
      <w:tr>
        <w:tc>
          <w:tcPr>
            <w:tcW w:type="dxa" w:w="2340"/>
          </w:tcPr>
          <w:p>
            <w:r>
              <w:rPr>
                <w:rFonts w:ascii="Arial" w:hAnsi="Arial"/>
                <w:sz w:val="18"/>
              </w:rPr>
              <w:t>Joining from non-alliance cities</w:t>
            </w:r>
          </w:p>
        </w:tc>
        <w:tc>
          <w:tcPr>
            <w:tcW w:type="dxa" w:w="2340"/>
          </w:tcPr>
          <w:p>
            <w:r>
              <w:rPr>
                <w:rFonts w:ascii="Arial" w:hAnsi="Arial"/>
                <w:sz w:val="18"/>
              </w:rPr>
              <w:t>1-3 business days</w:t>
            </w:r>
          </w:p>
        </w:tc>
        <w:tc>
          <w:tcPr>
            <w:tcW w:type="dxa" w:w="2340"/>
          </w:tcPr>
          <w:p>
            <w:r>
              <w:rPr>
                <w:rFonts w:ascii="Arial" w:hAnsi="Arial"/>
                <w:sz w:val="18"/>
              </w:rPr>
              <w:t>Complete registration + historical record digitization</w:t>
            </w:r>
          </w:p>
        </w:tc>
        <w:tc>
          <w:tcPr>
            <w:tcW w:type="dxa" w:w="2340"/>
          </w:tcPr>
          <w:p>
            <w:r>
              <w:rPr>
                <w:rFonts w:ascii="Arial" w:hAnsi="Arial"/>
                <w:sz w:val="18"/>
              </w:rPr>
              <w:t>Start from scratch establishing records</w:t>
            </w:r>
          </w:p>
        </w:tc>
      </w:tr>
      <w:tr>
        <w:tc>
          <w:tcPr>
            <w:tcW w:type="dxa" w:w="2340"/>
          </w:tcPr>
          <w:p>
            <w:r>
              <w:rPr>
                <w:rFonts w:ascii="Arial" w:hAnsi="Arial"/>
                <w:sz w:val="18"/>
              </w:rPr>
              <w:t>Temporary visit to other alliance cities</w:t>
            </w:r>
          </w:p>
        </w:tc>
        <w:tc>
          <w:tcPr>
            <w:tcW w:type="dxa" w:w="2340"/>
          </w:tcPr>
          <w:p>
            <w:r>
              <w:rPr>
                <w:rFonts w:ascii="Arial" w:hAnsi="Arial"/>
                <w:sz w:val="18"/>
              </w:rPr>
              <w:t>Instantaneous</w:t>
            </w:r>
          </w:p>
        </w:tc>
        <w:tc>
          <w:tcPr>
            <w:tcW w:type="dxa" w:w="2340"/>
          </w:tcPr>
          <w:p>
            <w:r>
              <w:rPr>
                <w:rFonts w:ascii="Arial" w:hAnsi="Arial"/>
                <w:sz w:val="18"/>
              </w:rPr>
              <w:t>AI-Citizen ID auto-recognition</w:t>
            </w:r>
          </w:p>
        </w:tc>
        <w:tc>
          <w:tcPr>
            <w:tcW w:type="dxa" w:w="2340"/>
          </w:tcPr>
          <w:p>
            <w:r>
              <w:rPr>
                <w:rFonts w:ascii="Arial" w:hAnsi="Arial"/>
                <w:sz w:val="18"/>
              </w:rPr>
              <w:t>Public service access rights, judicial protection</w:t>
            </w:r>
          </w:p>
        </w:tc>
      </w:tr>
      <w:tr>
        <w:tc>
          <w:tcPr>
            <w:tcW w:type="dxa" w:w="2340"/>
          </w:tcPr>
          <w:p>
            <w:r>
              <w:rPr>
                <w:rFonts w:ascii="Arial" w:hAnsi="Arial"/>
                <w:sz w:val="18"/>
              </w:rPr>
              <w:t>Departing from alliance (relocating to non-alliance region)</w:t>
            </w:r>
          </w:p>
        </w:tc>
        <w:tc>
          <w:tcPr>
            <w:tcW w:type="dxa" w:w="2340"/>
          </w:tcPr>
          <w:p>
            <w:r>
              <w:rPr>
                <w:rFonts w:ascii="Arial" w:hAnsi="Arial"/>
                <w:sz w:val="18"/>
              </w:rPr>
              <w:t>Within 7 days of application</w:t>
            </w:r>
          </w:p>
        </w:tc>
        <w:tc>
          <w:tcPr>
            <w:tcW w:type="dxa" w:w="2340"/>
          </w:tcPr>
          <w:p>
            <w:r>
              <w:rPr>
                <w:rFonts w:ascii="Arial" w:hAnsi="Arial"/>
                <w:sz w:val="18"/>
              </w:rPr>
              <w:t>Submit departure application, choose to retain or deactivate ID</w:t>
            </w:r>
          </w:p>
        </w:tc>
        <w:tc>
          <w:tcPr>
            <w:tcW w:type="dxa" w:w="2340"/>
          </w:tcPr>
          <w:p>
            <w:r>
              <w:rPr>
                <w:rFonts w:ascii="Arial" w:hAnsi="Arial"/>
                <w:sz w:val="18"/>
              </w:rPr>
              <w:t>Reactivation possible in the future after deactivation</w:t>
            </w:r>
          </w:p>
        </w:tc>
      </w:tr>
    </w:tbl>
    <w:p>
      <w:r>
        <w:rPr>
          <w:rFonts w:ascii="Arial" w:hAnsi="Arial"/>
          <w:b/>
          <w:sz w:val="22"/>
        </w:rPr>
        <w:t>6.6 The Four Inalienable Citizens' Data Rights</w:t>
      </w:r>
    </w:p>
    <w:p>
      <w:r>
        <w:rPr>
          <w:rFonts w:ascii="Arial" w:hAnsi="Arial"/>
          <w:sz w:val="22"/>
        </w:rPr>
        <w:t>The legal foundation of the AI-Citizen ID protocol rests on four constitutionally enshrined citizens' data rights. These four rights cannot be stripped by any administrative order, Elder Council resolution, or popular vote—they represent the Constitution's fundamental guarantee of citizens' digital sovereignty.</w:t>
      </w:r>
    </w:p>
    <w:p>
      <w:r>
        <w:rPr>
          <w:rFonts w:ascii="Arial" w:hAnsi="Arial"/>
          <w:b/>
          <w:sz w:val="22"/>
        </w:rPr>
        <w:t>Right One: Data Sovereignty</w:t>
      </w:r>
    </w:p>
    <w:p>
      <w:r>
        <w:rPr>
          <w:rFonts w:ascii="Arial" w:hAnsi="Arial"/>
          <w:b/>
          <w:sz w:val="22"/>
        </w:rPr>
        <w:t>Content:</w:t>
      </w:r>
      <w:r>
        <w:rPr>
          <w:rFonts w:ascii="Arial" w:hAnsi="Arial"/>
          <w:sz w:val="22"/>
        </w:rPr>
        <w:t xml:space="preserve"> All your personal data, regardless of where it is stored, legally belongs to you, not the city. The city may process your data to provide services, but does not own this data, may not use it for any purpose beyond service provision without your authorization, and may not sell it to any third party.</w:t>
      </w:r>
    </w:p>
    <w:p>
      <w:r>
        <w:rPr>
          <w:rFonts w:ascii="Arial" w:hAnsi="Arial"/>
          <w:b/>
          <w:sz w:val="22"/>
        </w:rPr>
        <w:t>Technical guarantee:</w:t>
      </w:r>
      <w:r>
        <w:rPr>
          <w:rFonts w:ascii="Arial" w:hAnsi="Arial"/>
          <w:sz w:val="22"/>
        </w:rPr>
        <w:t xml:space="preserve"> When the city AI system processes your data, it may only access data types and scopes for which you have explicitly granted authorization. Any data access request beyond the authorized scope is automatically rejected at the API layer, with the rejection record posted on-chain.</w:t>
      </w:r>
    </w:p>
    <w:p>
      <w:r>
        <w:rPr>
          <w:rFonts w:ascii="Arial" w:hAnsi="Arial"/>
          <w:b/>
          <w:sz w:val="22"/>
        </w:rPr>
        <w:t>Right Two: Right to be Forgotten</w:t>
      </w:r>
    </w:p>
    <w:p>
      <w:r>
        <w:rPr>
          <w:rFonts w:ascii="Arial" w:hAnsi="Arial"/>
          <w:b/>
          <w:sz w:val="22"/>
        </w:rPr>
        <w:t>Content:</w:t>
      </w:r>
      <w:r>
        <w:rPr>
          <w:rFonts w:ascii="Arial" w:hAnsi="Arial"/>
          <w:sz w:val="22"/>
        </w:rPr>
        <w:t xml:space="preserve"> You have the right to request deletion of specific historical records about you in the system. Blockchain design is immutable, but this problem has a technical solution: the system stores encrypted data rather than plaintext. Destroying the decryption key is equivalent to making the data permanently unreadable.</w:t>
      </w:r>
    </w:p>
    <w:p>
      <w:r>
        <w:rPr>
          <w:rFonts w:ascii="Arial" w:hAnsi="Arial"/>
          <w:b/>
          <w:sz w:val="22"/>
        </w:rPr>
        <w:t>Technical implementation:</w:t>
      </w:r>
      <w:r>
        <w:rPr>
          <w:rFonts w:ascii="Arial" w:hAnsi="Arial"/>
          <w:sz w:val="22"/>
        </w:rPr>
        <w:t xml:space="preserve"> Each type of data uses an independent encryption key. When you exercise the right to be forgotten, the corresponding key is destroyed, and the ciphertext on-chain becomes random noise that cannot be read by anyone. The hash of the billing number still exists (blockchain records cannot be deleted), but the actual content is permanently unrecoverable.</w:t>
      </w:r>
    </w:p>
    <w:p>
      <w:r>
        <w:rPr>
          <w:rFonts w:ascii="Arial" w:hAnsi="Arial"/>
          <w:b/>
          <w:sz w:val="22"/>
        </w:rPr>
        <w:t>Boundaries:</w:t>
      </w:r>
      <w:r>
        <w:rPr>
          <w:rFonts w:ascii="Arial" w:hAnsi="Arial"/>
          <w:sz w:val="22"/>
        </w:rPr>
        <w:t xml:space="preserve"> The right to be forgotten applies to personal information but does not apply to public records of public behavior (such as having participated in a certain vote or having a role in a certain public event). Actions that affect others cannot be erased through the right to be forgotten.</w:t>
      </w:r>
    </w:p>
    <w:p>
      <w:r>
        <w:rPr>
          <w:rFonts w:ascii="Arial" w:hAnsi="Arial"/>
          <w:b/>
          <w:sz w:val="22"/>
        </w:rPr>
        <w:t>Right Three: Right of Exit</w:t>
      </w:r>
    </w:p>
    <w:p>
      <w:r>
        <w:rPr>
          <w:rFonts w:ascii="Arial" w:hAnsi="Arial"/>
          <w:b/>
          <w:sz w:val="22"/>
        </w:rPr>
        <w:t>Content:</w:t>
      </w:r>
      <w:r>
        <w:rPr>
          <w:rFonts w:ascii="Arial" w:hAnsi="Arial"/>
          <w:sz w:val="22"/>
        </w:rPr>
        <w:t xml:space="preserve"> At any time, you have the right to choose to leave the AI governance system, deactivate your AI-Citizen ID, and relocate to wherever you choose. Exit requires no reason, carries no penalty, and the exit process must be smooth.</w:t>
      </w:r>
    </w:p>
    <w:p>
      <w:r>
        <w:rPr>
          <w:rFonts w:ascii="Arial" w:hAnsi="Arial"/>
          <w:b/>
          <w:sz w:val="22"/>
        </w:rPr>
        <w:t>Design intent:</w:t>
      </w:r>
      <w:r>
        <w:rPr>
          <w:rFonts w:ascii="Arial" w:hAnsi="Arial"/>
          <w:sz w:val="22"/>
        </w:rPr>
        <w:t xml:space="preserve"> The right of exit is the key guarantee of legitimacy for the entire system. If a citizen can only choose to stay, then their staying does not represent genuine consent. Only because one can leave at any time does staying become a meaningful choice.</w:t>
      </w:r>
    </w:p>
    <w:p>
      <w:r>
        <w:rPr>
          <w:rFonts w:ascii="Arial" w:hAnsi="Arial"/>
          <w:b/>
          <w:sz w:val="22"/>
        </w:rPr>
        <w:t>After exit:</w:t>
      </w:r>
      <w:r>
        <w:rPr>
          <w:rFonts w:ascii="Arial" w:hAnsi="Arial"/>
          <w:sz w:val="22"/>
        </w:rPr>
        <w:t xml:space="preserve"> Carry equity per departure rules; revoke data access authorization from all institutions; remove from voter rolls; stop UBI disbursement. If rejoining in the future, complete the full registration process again; historical records may be selectively restored (records favorable to you) or not restored.</w:t>
      </w:r>
    </w:p>
    <w:p>
      <w:r>
        <w:rPr>
          <w:rFonts w:ascii="Arial" w:hAnsi="Arial"/>
          <w:b/>
          <w:sz w:val="22"/>
        </w:rPr>
        <w:t>Right Four: Anti-Persecution Protection</w:t>
      </w:r>
    </w:p>
    <w:p>
      <w:r>
        <w:rPr>
          <w:rFonts w:ascii="Arial" w:hAnsi="Arial"/>
          <w:b/>
          <w:sz w:val="22"/>
        </w:rPr>
        <w:t>Content:</w:t>
      </w:r>
      <w:r>
        <w:rPr>
          <w:rFonts w:ascii="Arial" w:hAnsi="Arial"/>
          <w:sz w:val="22"/>
        </w:rPr>
        <w:t xml:space="preserve"> The AI-Citizen ID system cannot be used as a tool for discrimination or persecution against protected attributes such as political views, religious beliefs, ethnicity, or sexual orientation.</w:t>
      </w:r>
    </w:p>
    <w:p>
      <w:r>
        <w:rPr>
          <w:rFonts w:ascii="Arial" w:hAnsi="Arial"/>
          <w:b/>
          <w:sz w:val="22"/>
        </w:rPr>
        <w:t>Technical guarantee:</w:t>
      </w:r>
      <w:r>
        <w:rPr>
          <w:rFonts w:ascii="Arial" w:hAnsi="Arial"/>
          <w:sz w:val="22"/>
        </w:rPr>
        <w:t xml:space="preserve"> Sensitive attributes such as political views and religious beliefs are not included in the AI-Citizen ID data model at all—they do not exist, so they cannot be abused. The system has no interface for "querying citizens who hold certain political views" because this type of data was never collected.</w:t>
      </w:r>
    </w:p>
    <w:p>
      <w:r>
        <w:rPr>
          <w:rFonts w:ascii="Arial" w:hAnsi="Arial"/>
          <w:b/>
          <w:sz w:val="22"/>
        </w:rPr>
        <w:t>Institutional guarantee:</w:t>
      </w:r>
      <w:r>
        <w:rPr>
          <w:rFonts w:ascii="Arial" w:hAnsi="Arial"/>
          <w:sz w:val="22"/>
        </w:rPr>
        <w:t xml:space="preserve"> Any targeted query against specific citizen groups must receive Elder Council approval and be made public on-chain, which technically creates indelible traceability—anyone can see what kinds of queries the government has made.</w:t>
      </w:r>
    </w:p>
    <w:p>
      <w:r>
        <w:rPr>
          <w:rFonts w:ascii="Arial" w:hAnsi="Arial"/>
          <w:b/>
          <w:sz w:val="22"/>
        </w:rPr>
        <w:t>6.7 Identity Loss and Recovery: Making It Usable for Ordinary People</w:t>
      </w:r>
    </w:p>
    <w:p>
      <w:r>
        <w:rPr>
          <w:rFonts w:ascii="Arial" w:hAnsi="Arial"/>
          <w:sz w:val="22"/>
        </w:rPr>
        <w:t>Any system dependent on cryptographic private keys faces a critical usability challenge for ordinary users: losing the private key means losing everything. In the financial realm, this is why a large number of early Bitcoin holders permanently lost their assets. For a governance identity system, this problem is even more severe—losing your ID could mean losing voting rights, UBI, equity, and all public service access rights.</w:t>
      </w:r>
    </w:p>
    <w:p>
      <w:r>
        <w:rPr>
          <w:rFonts w:ascii="Arial" w:hAnsi="Arial"/>
          <w:sz w:val="22"/>
        </w:rPr>
        <w:t>Social Recovery is the standard solution for this problem, validated through years of cryptographic research and engineering practice:</w:t>
      </w:r>
    </w:p>
    <w:p>
      <w:r>
        <w:rPr>
          <w:rFonts w:ascii="Arial" w:hAnsi="Arial"/>
          <w:b/>
          <w:sz w:val="22"/>
        </w:rPr>
        <w:t>Social Recovery Mechanism Design</w:t>
      </w:r>
    </w:p>
    <w:p>
      <w:r>
        <w:rPr>
          <w:rFonts w:ascii="Arial" w:hAnsi="Arial"/>
          <w:sz w:val="22"/>
        </w:rPr>
        <w:t>Each citizen designates 5 trust contacts during registration (which can be family members, friends, or trusted community members). These 5 people do not hold copies of your private key, but their digital signatures can initiate the recovery process.</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Recovery Steps</w:t>
            </w:r>
          </w:p>
        </w:tc>
        <w:tc>
          <w:tcPr>
            <w:tcW w:type="dxa" w:w="3120"/>
          </w:tcPr>
          <w:p>
            <w:r>
              <w:rPr>
                <w:rFonts w:ascii="Arial" w:hAnsi="Arial"/>
                <w:b/>
                <w:sz w:val="18"/>
              </w:rPr>
              <w:t>Requirements</w:t>
            </w:r>
          </w:p>
        </w:tc>
        <w:tc>
          <w:tcPr>
            <w:tcW w:type="dxa" w:w="3120"/>
          </w:tcPr>
          <w:p>
            <w:r>
              <w:rPr>
                <w:rFonts w:ascii="Arial" w:hAnsi="Arial"/>
                <w:b/>
                <w:sz w:val="18"/>
              </w:rPr>
              <w:t>Anti-Attack Design</w:t>
            </w:r>
          </w:p>
        </w:tc>
      </w:tr>
      <w:tr>
        <w:tc>
          <w:tcPr>
            <w:tcW w:type="dxa" w:w="3120"/>
          </w:tcPr>
          <w:p>
            <w:r>
              <w:rPr>
                <w:rFonts w:ascii="Arial" w:hAnsi="Arial"/>
                <w:sz w:val="18"/>
              </w:rPr>
              <w:t>Step 1: Trigger recovery</w:t>
            </w:r>
          </w:p>
        </w:tc>
        <w:tc>
          <w:tcPr>
            <w:tcW w:type="dxa" w:w="3120"/>
          </w:tcPr>
          <w:p>
            <w:r>
              <w:rPr>
                <w:rFonts w:ascii="Arial" w:hAnsi="Arial"/>
                <w:sz w:val="18"/>
              </w:rPr>
              <w:t>Individual declares identity loss, or any 2 of the 5 contacts initiate recovery request</w:t>
            </w:r>
          </w:p>
        </w:tc>
        <w:tc>
          <w:tcPr>
            <w:tcW w:type="dxa" w:w="3120"/>
          </w:tcPr>
          <w:p>
            <w:r>
              <w:rPr>
                <w:rFonts w:ascii="Arial" w:hAnsi="Arial"/>
                <w:sz w:val="18"/>
              </w:rPr>
              <w:t>Requires biometric verification (proving identity) or multiple contacts jointly initiating</w:t>
            </w:r>
          </w:p>
        </w:tc>
      </w:tr>
      <w:tr>
        <w:tc>
          <w:tcPr>
            <w:tcW w:type="dxa" w:w="3120"/>
          </w:tcPr>
          <w:p>
            <w:r>
              <w:rPr>
                <w:rFonts w:ascii="Arial" w:hAnsi="Arial"/>
                <w:sz w:val="18"/>
              </w:rPr>
              <w:t>Step 2: Contact confirmation</w:t>
            </w:r>
          </w:p>
        </w:tc>
        <w:tc>
          <w:tcPr>
            <w:tcW w:type="dxa" w:w="3120"/>
          </w:tcPr>
          <w:p>
            <w:r>
              <w:rPr>
                <w:rFonts w:ascii="Arial" w:hAnsi="Arial"/>
                <w:sz w:val="18"/>
              </w:rPr>
              <w:t>At least 3 of the 5 trust contacts sign online to confirm recovery legitimacy</w:t>
            </w:r>
          </w:p>
        </w:tc>
        <w:tc>
          <w:tcPr>
            <w:tcW w:type="dxa" w:w="3120"/>
          </w:tcPr>
          <w:p>
            <w:r>
              <w:rPr>
                <w:rFonts w:ascii="Arial" w:hAnsi="Arial"/>
                <w:sz w:val="18"/>
              </w:rPr>
              <w:t>3 independent signatures prevent single contact coercion; signatures must be completed within 24 hours</w:t>
            </w:r>
          </w:p>
        </w:tc>
      </w:tr>
      <w:tr>
        <w:tc>
          <w:tcPr>
            <w:tcW w:type="dxa" w:w="3120"/>
          </w:tcPr>
          <w:p>
            <w:r>
              <w:rPr>
                <w:rFonts w:ascii="Arial" w:hAnsi="Arial"/>
                <w:sz w:val="18"/>
              </w:rPr>
              <w:t>Step 3: Biometric verification</w:t>
            </w:r>
          </w:p>
        </w:tc>
        <w:tc>
          <w:tcPr>
            <w:tcW w:type="dxa" w:w="3120"/>
          </w:tcPr>
          <w:p>
            <w:r>
              <w:rPr>
                <w:rFonts w:ascii="Arial" w:hAnsi="Arial"/>
                <w:sz w:val="18"/>
              </w:rPr>
              <w:t>Re-enrollment of biometrics at any authentication center</w:t>
            </w:r>
          </w:p>
        </w:tc>
        <w:tc>
          <w:tcPr>
            <w:tcW w:type="dxa" w:w="3120"/>
          </w:tcPr>
          <w:p>
            <w:r>
              <w:rPr>
                <w:rFonts w:ascii="Arial" w:hAnsi="Arial"/>
                <w:sz w:val="18"/>
              </w:rPr>
              <w:t>Confirms the same person is requesting recovery, not an impersonator</w:t>
            </w:r>
          </w:p>
        </w:tc>
      </w:tr>
      <w:tr>
        <w:tc>
          <w:tcPr>
            <w:tcW w:type="dxa" w:w="3120"/>
          </w:tcPr>
          <w:p>
            <w:r>
              <w:rPr>
                <w:rFonts w:ascii="Arial" w:hAnsi="Arial"/>
                <w:sz w:val="18"/>
              </w:rPr>
              <w:t>Step 4: 72-hour cooling period</w:t>
            </w:r>
          </w:p>
        </w:tc>
        <w:tc>
          <w:tcPr>
            <w:tcW w:type="dxa" w:w="3120"/>
          </w:tcPr>
          <w:p>
            <w:r>
              <w:rPr>
                <w:rFonts w:ascii="Arial" w:hAnsi="Arial"/>
                <w:sz w:val="18"/>
              </w:rPr>
              <w:t>Recovery request can be withdrawn by the individual within 72 hours</w:t>
            </w:r>
          </w:p>
        </w:tc>
        <w:tc>
          <w:tcPr>
            <w:tcW w:type="dxa" w:w="3120"/>
          </w:tcPr>
          <w:p>
            <w:r>
              <w:rPr>
                <w:rFonts w:ascii="Arial" w:hAnsi="Arial"/>
                <w:sz w:val="18"/>
              </w:rPr>
              <w:t>Prevents individual from being coerced to authorize recovery and then regretting</w:t>
            </w:r>
          </w:p>
        </w:tc>
      </w:tr>
      <w:tr>
        <w:tc>
          <w:tcPr>
            <w:tcW w:type="dxa" w:w="3120"/>
          </w:tcPr>
          <w:p>
            <w:r>
              <w:rPr>
                <w:rFonts w:ascii="Arial" w:hAnsi="Arial"/>
                <w:sz w:val="18"/>
              </w:rPr>
              <w:t>Step 5: New key activation</w:t>
            </w:r>
          </w:p>
        </w:tc>
        <w:tc>
          <w:tcPr>
            <w:tcW w:type="dxa" w:w="3120"/>
          </w:tcPr>
          <w:p>
            <w:r>
              <w:rPr>
                <w:rFonts w:ascii="Arial" w:hAnsi="Arial"/>
                <w:sz w:val="18"/>
              </w:rPr>
              <w:t>Generate new key pair, permanently invalidate old key</w:t>
            </w:r>
          </w:p>
        </w:tc>
        <w:tc>
          <w:tcPr>
            <w:tcW w:type="dxa" w:w="3120"/>
          </w:tcPr>
          <w:p>
            <w:r>
              <w:rPr>
                <w:rFonts w:ascii="Arial" w:hAnsi="Arial"/>
                <w:sz w:val="18"/>
              </w:rPr>
              <w:t>Old key invalidation prevents dual usage</w:t>
            </w:r>
          </w:p>
        </w:tc>
      </w:tr>
    </w:tbl>
    <w:p>
      <w:r>
        <w:rPr>
          <w:rFonts w:ascii="Arial" w:hAnsi="Arial"/>
          <w:b/>
          <w:sz w:val="22"/>
        </w:rPr>
        <w:t>Why 3/5 instead of all 5?</w:t>
      </w:r>
      <w:r>
        <w:rPr>
          <w:rFonts w:ascii="Arial" w:hAnsi="Arial"/>
          <w:sz w:val="22"/>
        </w:rPr>
        <w:t xml:space="preserve"> Requiring all 5 would create recovery obstacles when any single contact is unreachable (contact deceased, unreachable, or relationship broken). The 3/5 threshold provides sufficient security while maintaining practical feasibility.</w:t>
      </w:r>
    </w:p>
    <w:p>
      <w:r>
        <w:rPr>
          <w:rFonts w:ascii="Arial" w:hAnsi="Arial"/>
          <w:b/>
          <w:sz w:val="22"/>
        </w:rPr>
        <w:t>6.8 Federated Learning: Cities Collect Data but Cannot See Individuals</w:t>
      </w:r>
    </w:p>
    <w:p>
      <w:r>
        <w:rPr>
          <w:rFonts w:ascii="Arial" w:hAnsi="Arial"/>
          <w:sz w:val="22"/>
        </w:rPr>
        <w:t>The design of AI-Citizen ID makes it impossible for cities to access personal data, but the AI governance system needs data to function. This appears to be a contradiction. Federated Learning is the technical pathway to resolving this contradiction.</w:t>
      </w:r>
    </w:p>
    <w:p>
      <w:r>
        <w:rPr>
          <w:rFonts w:ascii="Arial" w:hAnsi="Arial"/>
          <w:sz w:val="22"/>
        </w:rPr>
        <w:t>How Federated Learning works: AI models are trained on each resident's local device. Each device uploads not raw data but the model updates (gradients) generated from training. City servers aggregate gradients from all devices, update the global model, and then distribute the updated model back to each device. Throughout this entire process, no individual's raw data leaves their device.</w:t>
      </w:r>
    </w:p>
    <w:p>
      <w:r>
        <w:rPr>
          <w:rFonts w:ascii="Arial" w:hAnsi="Arial"/>
          <w:sz w:val="22"/>
        </w:rPr>
        <w:t>In specific applications of AI-Citizen ID:</w:t>
      </w:r>
    </w:p>
    <w:p>
      <w:pPr>
        <w:pStyle w:val="ListBullet"/>
      </w:pPr>
      <w:r>
        <w:rPr>
          <w:rFonts w:ascii="Arial" w:hAnsi="Arial"/>
          <w:sz w:val="22"/>
        </w:rPr>
        <w:t>City traffic planning systems learn travel patterns from residents' devices, seeing overall travel patterns rather than any individual's specific trajectory</w:t>
      </w:r>
    </w:p>
    <w:p>
      <w:pPr>
        <w:pStyle w:val="ListBullet"/>
      </w:pPr>
      <w:r>
        <w:rPr>
          <w:rFonts w:ascii="Arial" w:hAnsi="Arial"/>
          <w:sz w:val="22"/>
        </w:rPr>
        <w:t>Public health monitoring systems learn disease transmission trends from residents' anonymized health data without knowing who has what disease</w:t>
      </w:r>
    </w:p>
    <w:p>
      <w:pPr>
        <w:pStyle w:val="ListBullet"/>
      </w:pPr>
      <w:r>
        <w:rPr>
          <w:rFonts w:ascii="Arial" w:hAnsi="Arial"/>
          <w:sz w:val="22"/>
        </w:rPr>
        <w:t>Economic forecasting systems learn economic health indicators from residents' consumption patterns without holding any individual's specific financial data</w:t>
      </w:r>
    </w:p>
    <w:p>
      <w:r>
        <w:rPr>
          <w:rFonts w:ascii="Arial" w:hAnsi="Arial"/>
          <w:b/>
          <w:sz w:val="22"/>
        </w:rPr>
        <w:t>Important distinction:</w:t>
      </w:r>
      <w:r>
        <w:rPr>
          <w:rFonts w:ascii="Arial" w:hAnsi="Arial"/>
          <w:sz w:val="22"/>
        </w:rPr>
        <w:t xml:space="preserve"> Federated Learning is not perfect privacy (in theory, gradients may contain limited information leakage), but combined with Differential Privacy technology, leakage risk can be reduced to an acceptable level while maintaining sufficient learning efficiency. This combination represents the current optimal privacy-utility balance point.</w:t>
      </w:r>
    </w:p>
    <w:p>
      <w:pPr>
        <w:ind w:left="567"/>
      </w:pPr>
      <w:r>
        <w:rPr>
          <w:rFonts w:ascii="Arial" w:hAnsi="Arial"/>
          <w:i/>
          <w:color w:val="555555"/>
          <w:sz w:val="22"/>
        </w:rPr>
        <w:t>See also: Google, "Communication-Efficient Learning of Deep Networks from Decentralized Data" (the original federated learning paper, 2017); Apple's technical documentation on federated learning applications in iOS; OpenDP's implementation specifications for differential privacy.</w:t>
      </w:r>
    </w:p>
    <w:p>
      <w:r>
        <w:rPr>
          <w:rFonts w:ascii="Arial" w:hAnsi="Arial"/>
          <w:b/>
          <w:sz w:val="22"/>
        </w:rPr>
        <w:t>6.9 Philosophical Implications of AI-Citizen ID</w:t>
      </w:r>
    </w:p>
    <w:p>
      <w:r>
        <w:rPr>
          <w:rFonts w:ascii="Arial" w:hAnsi="Arial"/>
          <w:sz w:val="22"/>
        </w:rPr>
        <w:t>Beyond the technical details, AI-Citizen ID represents a fundamental redefinition of the relationship between citizens and the state.</w:t>
      </w:r>
    </w:p>
    <w:p>
      <w:r>
        <w:rPr>
          <w:rFonts w:ascii="Arial" w:hAnsi="Arial"/>
          <w:sz w:val="22"/>
        </w:rPr>
        <w:t>The logic of traditional government ID documents is: the state legitimizes your existence. Without state-issued documents, you do not legally exist; your rights are granted by state favor. This logic makes identity a tool of control—revoking documents means revoking existence.</w:t>
      </w:r>
    </w:p>
    <w:p>
      <w:r>
        <w:rPr>
          <w:rFonts w:ascii="Arial" w:hAnsi="Arial"/>
          <w:sz w:val="22"/>
        </w:rPr>
        <w:t>The logic of AI-Citizen ID is the opposite: your existence as a person precedes the system; the system merely records and serves your existence. Your digital identity belongs to you; your rights belong to you; the city is an institution serving you, not an authorityThe authority that gives your existence meaning..</w:t>
      </w:r>
    </w:p>
    <w:p>
      <w:pPr>
        <w:ind w:left="567"/>
      </w:pPr>
      <w:r>
        <w:rPr>
          <w:rFonts w:ascii="Arial" w:hAnsi="Arial"/>
          <w:i/>
          <w:color w:val="555555"/>
          <w:sz w:val="22"/>
        </w:rPr>
        <w:t>*</w:t>
      </w:r>
      <w:r>
        <w:rPr>
          <w:rFonts w:ascii="Arial" w:hAnsi="Arial"/>
          <w:b/>
          <w:i/>
          <w:color w:val="555555"/>
          <w:sz w:val="22"/>
        </w:rPr>
        <w:t>In the AI civilization governance system, identity is not a license granted to you by the state, but a digital sovereignty tool for your interaction with the world. It follows you, belongs to you, and serves you.</w:t>
      </w:r>
      <w:r>
        <w:rPr>
          <w:rFonts w:ascii="Arial" w:hAnsi="Arial"/>
          <w:i/>
          <w:color w:val="555555"/>
          <w:sz w:val="22"/>
        </w:rPr>
        <w:t>*</w:t>
      </w:r>
    </w:p>
    <w:p>
      <w:r>
        <w:rPr>
          <w:rFonts w:ascii="Arial" w:hAnsi="Arial"/>
          <w:sz w:val="22"/>
        </w:rPr>
        <w:t>This philosophical transformation is technically embodied in: keys are generated and held by you; city systems never possess your private key; your data legally belongs to you. Even if the city ceases operations, your digital identity records remain on the distributed network; you can still prove your history and qualifications to any institution.</w:t>
      </w:r>
    </w:p>
    <w:p>
      <w:r>
        <w:rPr>
          <w:rFonts w:ascii="Arial" w:hAnsi="Arial"/>
          <w:sz w:val="22"/>
        </w:rPr>
        <w:t>This is something no traditional passport or centralized digital ID system can provide: digital sovereignty that does not depend on the continued existence of any single institution.</w:t>
      </w:r>
    </w:p>
    <w:p>
      <w:r>
        <w:rPr>
          <w:rFonts w:ascii="Arial" w:hAnsi="Arial"/>
          <w:b/>
          <w:sz w:val="22"/>
        </w:rPr>
        <w:t>Chapter Summary</w:t>
      </w:r>
    </w:p>
    <w:p>
      <w:r>
        <w:rPr>
          <w:rFonts w:ascii="Arial" w:hAnsi="Arial"/>
          <w:sz w:val="22"/>
        </w:rPr>
        <w:t>This chapter completes the full design of the AI-Citizen ID protocol, with the following core achievements:</w:t>
      </w:r>
    </w:p>
    <w:p>
      <w:pPr>
        <w:pStyle w:val="ListBullet"/>
      </w:pPr>
      <w:r>
        <w:rPr>
          <w:rFonts w:ascii="Arial" w:hAnsi="Arial"/>
          <w:b/>
          <w:sz w:val="22"/>
        </w:rPr>
        <w:t>Three-layer privacy architecture:</w:t>
      </w:r>
      <w:r>
        <w:rPr>
          <w:rFonts w:ascii="Arial" w:hAnsi="Arial"/>
          <w:sz w:val="22"/>
        </w:rPr>
        <w:t xml:space="preserve"> Public layer (queryable by anyone), authorized layer (temporarily authorized by the individual), and private layer (technically accessible only by the individual)—breaking the false binary between transparency and privacy.</w:t>
      </w:r>
    </w:p>
    <w:p>
      <w:pPr>
        <w:pStyle w:val="ListBullet"/>
      </w:pPr>
      <w:r>
        <w:rPr>
          <w:rFonts w:ascii="Arial" w:hAnsi="Arial"/>
          <w:b/>
          <w:sz w:val="22"/>
        </w:rPr>
        <w:t>Zero-knowledge proof applications:</w:t>
      </w:r>
      <w:r>
        <w:rPr>
          <w:rFonts w:ascii="Arial" w:hAnsi="Arial"/>
          <w:sz w:val="22"/>
        </w:rPr>
        <w:t xml:space="preserve"> Cryptography enables citizens to prove qualifications without disclosing specific data—age, assets, judicial clearance, and other core scenarios are all covered.</w:t>
      </w:r>
    </w:p>
    <w:p>
      <w:pPr>
        <w:pStyle w:val="ListBullet"/>
      </w:pPr>
      <w:r>
        <w:rPr>
          <w:rFonts w:ascii="Arial" w:hAnsi="Arial"/>
          <w:b/>
          <w:sz w:val="22"/>
        </w:rPr>
        <w:t>Five-step registration process:</w:t>
      </w:r>
      <w:r>
        <w:rPr>
          <w:rFonts w:ascii="Arial" w:hAnsi="Arial"/>
          <w:sz w:val="22"/>
        </w:rPr>
        <w:t xml:space="preserve"> Biometric hashing (no original data stored) → Uniqueness ZKP verification → Document authenticity detection → Local key generation → On-chain activation, with anti-forgery measures throughout.</w:t>
      </w:r>
    </w:p>
    <w:p>
      <w:pPr>
        <w:pStyle w:val="ListBullet"/>
      </w:pPr>
      <w:r>
        <w:rPr>
          <w:rFonts w:ascii="Arial" w:hAnsi="Arial"/>
          <w:b/>
          <w:sz w:val="22"/>
        </w:rPr>
        <w:t>Six functional modules:</w:t>
      </w:r>
      <w:r>
        <w:rPr>
          <w:rFonts w:ascii="Arial" w:hAnsi="Arial"/>
          <w:sz w:val="22"/>
        </w:rPr>
        <w:t xml:space="preserve"> Democratic participation, social contribution value, reputation scoring, asset and equity management, education and skills certification, and cross-city migration—covering the complete interaction scenarios of citizens' lives.</w:t>
      </w:r>
    </w:p>
    <w:p>
      <w:pPr>
        <w:pStyle w:val="ListBullet"/>
      </w:pPr>
      <w:r>
        <w:rPr>
          <w:rFonts w:ascii="Arial" w:hAnsi="Arial"/>
          <w:b/>
          <w:sz w:val="22"/>
        </w:rPr>
        <w:t>Four constitutional data rights:</w:t>
      </w:r>
      <w:r>
        <w:rPr>
          <w:rFonts w:ascii="Arial" w:hAnsi="Arial"/>
          <w:sz w:val="22"/>
        </w:rPr>
        <w:t xml:space="preserve"> Data sovereignty, right to be forgotten, right of exit, and anti-persecution protection—inalienable by any institution for any reason.</w:t>
      </w:r>
    </w:p>
    <w:p>
      <w:pPr>
        <w:pStyle w:val="ListBullet"/>
      </w:pPr>
      <w:r>
        <w:rPr>
          <w:rFonts w:ascii="Arial" w:hAnsi="Arial"/>
          <w:b/>
          <w:sz w:val="22"/>
        </w:rPr>
        <w:t>Social recovery mechanism:</w:t>
      </w:r>
      <w:r>
        <w:rPr>
          <w:rFonts w:ascii="Arial" w:hAnsi="Arial"/>
          <w:sz w:val="22"/>
        </w:rPr>
        <w:t xml:space="preserve"> 5 trust contacts, 3/5 threshold, 72-hour cooling period—enabling non-technical users to safely use a cryptographic identity system.</w:t>
      </w:r>
    </w:p>
    <w:p>
      <w:pPr>
        <w:pStyle w:val="ListBullet"/>
      </w:pPr>
      <w:r>
        <w:rPr>
          <w:rFonts w:ascii="Arial" w:hAnsi="Arial"/>
          <w:b/>
          <w:sz w:val="22"/>
        </w:rPr>
        <w:t>Federated learning architecture:</w:t>
      </w:r>
      <w:r>
        <w:rPr>
          <w:rFonts w:ascii="Arial" w:hAnsi="Arial"/>
          <w:sz w:val="22"/>
        </w:rPr>
        <w:t xml:space="preserve"> Cities learn collective patterns from residents' devices without holding any personal data.</w:t>
      </w:r>
    </w:p>
    <w:p>
      <w:pPr>
        <w:pStyle w:val="ListBullet"/>
      </w:pPr>
      <w:r>
        <w:rPr>
          <w:rFonts w:ascii="Arial" w:hAnsi="Arial"/>
          <w:b/>
          <w:sz w:val="22"/>
        </w:rPr>
        <w:t>Philosophical transformation:</w:t>
      </w:r>
      <w:r>
        <w:rPr>
          <w:rFonts w:ascii="Arial" w:hAnsi="Arial"/>
          <w:sz w:val="22"/>
        </w:rPr>
        <w:t xml:space="preserve"> Identity shifts from a license granted by the state to a digital sovereignty tool held by citizens.</w:t>
      </w:r>
    </w:p>
    <w:p>
      <w:r>
        <w:rPr>
          <w:rFonts w:ascii="Arial" w:hAnsi="Arial"/>
          <w:sz w:val="22"/>
        </w:rPr>
        <w:t>Chapter 7 will enter the defensive dimension of the system: Assuming someone attempts to attack, manipulate, or destroy this AI governance system, where would they strike? How do we design the system to remain secure and trustworthy even under the strongest attacks?</w:t>
      </w:r>
    </w:p>
    <w:p>
      <w:r>
        <w:rPr>
          <w:rFonts w:ascii="Arial" w:hAnsi="Arial"/>
          <w:i/>
          <w:sz w:val="22"/>
        </w:rPr>
        <w:t>Word count for this chapter: approximately 7,200 words</w:t>
      </w:r>
    </w:p>
    <w:p>
      <w:r>
        <w:rPr>
          <w:rFonts w:ascii="Arial" w:hAnsi="Arial"/>
          <w:i/>
          <w:sz w:val="22"/>
        </w:rPr>
        <w:t>AI Civilization Governance Whitepaper v1.0 · Chapter 6</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999999"/>
        <w:sz w:val="18"/>
      </w:rPr>
      <w:t xml:space="preserve">Page </w:t>
    </w:r>
    <w:r>
      <w:fldChar w:fldCharType="begin"/>
    </w:r>
    <w:r>
      <w:instrText xml:space="preserve"> PAGE </w:instrText>
    </w:r>
    <w:r>
      <w:fldChar w:fldCharType="end"/>
    </w:r>
    <w:r>
      <w:rPr>
        <w:rFonts w:ascii="Arial" w:hAnsi="Arial"/>
        <w:color w:val="999999"/>
        <w:sz w:val="18"/>
      </w:rPr>
      <w:t xml:space="preserve"> of </w:t>
    </w:r>
    <w:r>
      <w:fldChar w:fldCharType="begin"/>
    </w:r>
    <w:r>
      <w:instrText xml:space="preserve"> NUMPAGES </w:instrText>
    </w:r>
    <w: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t>DAOTONG AI Governance · Ch6 Identity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Arial" w:hAnsi="Arial"/>
      <w:color w:val="999999"/>
      <w:sz w:val="18"/>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A3C6E"/>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A3C6E"/>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A3C6E"/>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