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6683873016584aeddbd3e4a57cf40e18b8420a"/>
      <w:r>
        <w:rPr>
          <w:rFonts w:ascii="Arial" w:hAnsi="Arial"/>
        </w:rPr>
        <w:t xml:space="preserve">AI Civilization Governance System · Whitepaper v1.0</w:t>
      </w:r>
      <w:bookmarkEnd w:id="20"/>
    </w:p>
    <w:p>
      <w:pPr>
        <w:pStyle w:val="FirstParagraph"/>
      </w:pPr>
      <w:r>
        <w:rPr>
          <w:rFonts w:ascii="Arial" w:hAnsi="Arial"/>
          <w:b/>
        </w:rPr>
        <w:t xml:space="preserve">Chapter 5 Economics: Protocols for Preventing Wealth Concentration</w:t>
      </w:r>
    </w:p>
    <w:p>
      <w:pPr>
        <w:pStyle w:val="BodyText"/>
      </w:pPr>
      <w:r>
        <w:rPr>
          <w:rFonts w:ascii="Arial" w:hAnsi="Arial"/>
          <w:i/>
        </w:rPr>
        <w:t xml:space="preserve">Chapter 1 diagnosed the systemic roots of power corruption; Chapter 4 demonstrated how judicial fairness can be engineered. Now we confront the deepest economic challenge of the AI governance system: in an era where artificial intelligence is systematically eliminating vast amounts of work, if wealth distribution mechanisms are not actively designed, the enormous dividends generated by automation will concentrate among an extremely small number of people at an unprecedented speed, creating a world more unequal than any in history. The economic protocols proposed in this chapter are not charity, not political compromise, but engineering necessities for the sustainable operation of AI civilization.</w:t>
      </w:r>
    </w:p>
    <w:p>
      <w:pPr>
        <w:pStyle w:val="BodyText"/>
      </w:pPr>
      <w:r>
        <w:rPr>
          <w:rFonts w:ascii="Arial" w:hAnsi="Arial"/>
          <w:b/>
        </w:rPr>
        <w:t xml:space="preserve">5.1 Why This Is an Engineering Problem, Not an Ideological One</w:t>
      </w:r>
    </w:p>
    <w:p>
      <w:pPr>
        <w:pStyle w:val="BodyText"/>
      </w:pPr>
      <w:r>
        <w:rPr>
          <w:rFonts w:ascii="Arial" w:hAnsi="Arial"/>
        </w:rPr>
        <w:t xml:space="preserve">Before discussing any specific economic design, a discourse-level obstacle must first be addressed: many people will intuitively categorize the mechanisms proposed in this chapter—Universal Basic Income, AI Labor Tax, Digital Equity for All—as expressions of some political ideology, and then accept or reject these mechanisms based on their stance toward that ideology.</w:t>
      </w:r>
    </w:p>
    <w:p>
      <w:pPr>
        <w:pStyle w:val="BodyText"/>
      </w:pPr>
      <w:r>
        <w:rPr>
          <w:rFonts w:ascii="Arial" w:hAnsi="Arial"/>
        </w:rPr>
        <w:t xml:space="preserve">This is the wrong framework. The economic protocols proposed in this chapter derive from an analysis of an engineering problem: what economic conditions must a city dependent on an AI governance system satisfy to maintain stable operation?</w:t>
      </w:r>
    </w:p>
    <w:p>
      <w:pPr>
        <w:pStyle w:val="BodyText"/>
      </w:pPr>
      <w:r>
        <w:rPr>
          <w:rFonts w:ascii="Arial" w:hAnsi="Arial"/>
        </w:rPr>
        <w:t xml:space="preserve">The answer involves three interrelated engineering constraints:</w:t>
      </w:r>
    </w:p>
    <w:p>
      <w:pPr>
        <w:numPr>
          <w:ilvl w:val="0"/>
          <w:numId w:val="1001"/>
        </w:numPr>
      </w:pPr>
      <w:r>
        <w:rPr>
          <w:rFonts w:ascii="Arial" w:hAnsi="Arial"/>
          <w:b/>
        </w:rPr>
        <w:t xml:space="preserve">Constraint 1: Human Capital Maintenance.</w:t>
      </w:r>
      <w:r>
        <w:rPr>
          <w:rFonts w:ascii="Arial" w:hAnsi="Arial"/>
        </w:rPr>
        <w:t xml:space="preserve"> </w:t>
      </w:r>
      <w:r>
        <w:rPr>
          <w:rFonts w:ascii="Arial" w:hAnsi="Arial"/>
        </w:rPr>
        <w:t xml:space="preserve">The AI governance system requires high-quality citizen participation—voting, jury duty, ethical oversight—to maintain its own legitimacy and corrective capacity. Extreme poverty and extreme inequality systematically destroy the quality of citizen participation: people exhausted by the struggle for survival have no time or energy to participate in governance; extreme concentration of wealth gives the opinions of a wealthy minority disproportionate weight through informal channels.</w:t>
      </w:r>
    </w:p>
    <w:p>
      <w:pPr>
        <w:numPr>
          <w:ilvl w:val="0"/>
          <w:numId w:val="1001"/>
        </w:numPr>
      </w:pPr>
      <w:r>
        <w:rPr>
          <w:rFonts w:ascii="Arial" w:hAnsi="Arial"/>
          <w:b/>
        </w:rPr>
        <w:t xml:space="preserve">Constraint 2: Social Stability Threshold.</w:t>
      </w:r>
      <w:r>
        <w:rPr>
          <w:rFonts w:ascii="Arial" w:hAnsi="Arial"/>
        </w:rPr>
        <w:t xml:space="preserve"> </w:t>
      </w:r>
      <w:r>
        <w:rPr>
          <w:rFonts w:ascii="Arial" w:hAnsi="Arial"/>
        </w:rPr>
        <w:t xml:space="preserve">All governance systems have a social stability threshold—beyond this threshold, systematic perceptions of unfairness lead to non-compliance, evasion, and even active sabotage of the entire system. No matter how strong the AI governance system’s rule enforcement capability, it cannotconfrontation a society’s collective resistance that does not believe the rules are fair to itself.</w:t>
      </w:r>
    </w:p>
    <w:p>
      <w:pPr>
        <w:numPr>
          <w:ilvl w:val="0"/>
          <w:numId w:val="1001"/>
        </w:numPr>
      </w:pPr>
      <w:r>
        <w:rPr>
          <w:rFonts w:ascii="Arial" w:hAnsi="Arial"/>
          <w:b/>
        </w:rPr>
        <w:t xml:space="preserve">Constraint 3: Economic Flywheel Activation Conditions.</w:t>
      </w:r>
      <w:r>
        <w:rPr>
          <w:rFonts w:ascii="Arial" w:hAnsi="Arial"/>
        </w:rPr>
        <w:t xml:space="preserve"> </w:t>
      </w:r>
      <w:r>
        <w:rPr>
          <w:rFonts w:ascii="Arial" w:hAnsi="Arial"/>
        </w:rPr>
        <w:t xml:space="preserve">A healthy functioning AI governance city requires sufficient economic activity to support public services. If automation leads to massive unemployment but there is no corresponding income redistribution mechanism, the collapse of consumer purchasing power will cause economic activity to shrink, thereby compressing the tax base for AI Labor Tax and deteriorating public finances—a self-reinforcing downward spiral.</w:t>
      </w:r>
    </w:p>
    <w:p>
      <w:pPr>
        <w:pStyle w:val="FirstParagraph"/>
      </w:pPr>
      <w:r>
        <w:rPr>
          <w:rFonts w:ascii="Arial" w:hAnsi="Arial"/>
        </w:rPr>
        <w:t xml:space="preserve">In other words, the design of economic protocols is not asking</w:t>
      </w:r>
      <w:r>
        <w:rPr>
          <w:rFonts w:ascii="Arial" w:hAnsi="Arial"/>
        </w:rPr>
        <w:t xml:space="preserve"> </w:t>
      </w:r>
      <w:r>
        <w:rPr>
          <w:rFonts w:ascii="Arial" w:hAnsi="Arial"/>
        </w:rPr>
        <w:t xml:space="preserve">“</w:t>
      </w:r>
      <w:r>
        <w:rPr>
          <w:rFonts w:ascii="Arial" w:hAnsi="Arial"/>
        </w:rPr>
        <w:t xml:space="preserve">what is fair</w:t>
      </w:r>
      <w:r>
        <w:rPr>
          <w:rFonts w:ascii="Arial" w:hAnsi="Arial"/>
        </w:rPr>
        <w:t xml:space="preserve">”</w:t>
      </w:r>
      <w:r>
        <w:rPr>
          <w:rFonts w:ascii="Arial" w:hAnsi="Arial"/>
        </w:rPr>
        <w:t xml:space="preserve"> </w:t>
      </w:r>
      <w:r>
        <w:rPr>
          <w:rFonts w:ascii="Arial" w:hAnsi="Arial"/>
        </w:rPr>
        <w:t xml:space="preserve">but</w:t>
      </w:r>
      <w:r>
        <w:rPr>
          <w:rFonts w:ascii="Arial" w:hAnsi="Arial"/>
        </w:rPr>
        <w:t xml:space="preserve"> </w:t>
      </w:r>
      <w:r>
        <w:rPr>
          <w:rFonts w:ascii="Arial" w:hAnsi="Arial"/>
        </w:rPr>
        <w:t xml:space="preserve">“</w:t>
      </w:r>
      <w:r>
        <w:rPr>
          <w:rFonts w:ascii="Arial" w:hAnsi="Arial"/>
        </w:rPr>
        <w:t xml:space="preserve">what are the necessary conditions for the entire system to continue functioning.</w:t>
      </w:r>
      <w:r>
        <w:rPr>
          <w:rFonts w:ascii="Arial" w:hAnsi="Arial"/>
        </w:rPr>
        <w:t xml:space="preserve">”</w:t>
      </w:r>
      <w:r>
        <w:rPr>
          <w:rFonts w:ascii="Arial" w:hAnsi="Arial"/>
        </w:rPr>
        <w:t xml:space="preserve"> </w:t>
      </w:r>
      <w:r>
        <w:rPr>
          <w:rFonts w:ascii="Arial" w:hAnsi="Arial"/>
        </w:rPr>
        <w:t xml:space="preserve">The former is a value judgment; the latter is engineering analysis. The argument in this chapter is based on the latter, although its conclusions align highly with the former.</w:t>
      </w:r>
    </w:p>
    <w:p>
      <w:pPr>
        <w:pStyle w:val="BlockText"/>
      </w:pPr>
      <w:r>
        <w:rPr>
          <w:i/>
          <w:rFonts w:ascii="Arial" w:hAnsi="Arial"/>
          <w:b/>
        </w:rPr>
        <w:t xml:space="preserve">In the AI era, wealth redistribution is not a moral luxury but an engineering necessity for maintaining the stable operation of the civilization system.</w:t>
      </w:r>
    </w:p>
    <w:p>
      <w:pPr>
        <w:pStyle w:val="BlockText"/>
      </w:pPr>
      <w:r>
        <w:rPr>
          <w:rFonts w:ascii="Arial" w:hAnsi="Arial"/>
          <w:i/>
        </w:rPr>
        <w:t xml:space="preserve">See: Daron Acemoglu &amp; Simon Johnson, Power and Progress: Our Thousand-Year Struggle Over Technology and Prosperity (2023); McKinsey Global Institute, Jobs Lost, Jobs Gained: Workforce Transitions in a Time of Automation (2017); Erik Brynjolfsson &amp; Andrew McAfee, The Second Machine Age.</w:t>
      </w:r>
    </w:p>
    <w:p>
      <w:pPr>
        <w:pStyle w:val="FirstParagraph"/>
      </w:pPr>
      <w:r>
        <w:rPr>
          <w:rFonts w:ascii="Arial" w:hAnsi="Arial"/>
          <w:b/>
        </w:rPr>
        <w:t xml:space="preserve">5.2 Economics of Automation: What We Are Entering</w:t>
      </w:r>
    </w:p>
    <w:p>
      <w:pPr>
        <w:pStyle w:val="BodyText"/>
      </w:pPr>
      <w:r>
        <w:rPr>
          <w:rFonts w:ascii="Arial" w:hAnsi="Arial"/>
        </w:rPr>
        <w:t xml:space="preserve">To understand why this set of economic protocols is needed, one must first grasp the scale of AI automation’s impact on the labor market.</w:t>
      </w:r>
    </w:p>
    <w:tbl>
      <w:tblPr>
        <w:tblStyle w:val="Table"/>
        <w:tblW w:type="pct" w:w="5000.0"/>
        <w:tblLook w:firstRow="1"/>
      </w:tblPr>
      <w:tblGrid>
        <w:gridCol w:w="2018"/>
        <w:gridCol w:w="1035"/>
        <w:gridCol w:w="3934"/>
        <w:gridCol w:w="931"/>
      </w:tblGrid>
      <w:tr>
        <w:trPr>
          <w:cnfStyle w:firstRow="1"/>
        </w:trPr>
        <w:tc>
          <w:tcPr>
            <w:tcBorders>
              <w:bottom w:val="single"/>
            </w:tcBorders>
            <w:vAlign w:val="bottom"/>
          </w:tcPr>
          <w:p>
            <w:pPr>
              <w:pStyle w:val="Compact"/>
              <w:jc w:val="left"/>
            </w:pPr>
            <w:r>
              <w:rPr>
                <w:b/>
              </w:rPr>
              <w:t xml:space="preserve">Research Institution</w:t>
            </w:r>
          </w:p>
        </w:tc>
        <w:tc>
          <w:tcPr>
            <w:tcBorders>
              <w:bottom w:val="single"/>
            </w:tcBorders>
            <w:vAlign w:val="bottom"/>
          </w:tcPr>
          <w:p>
            <w:pPr>
              <w:pStyle w:val="Compact"/>
              <w:jc w:val="left"/>
            </w:pPr>
            <w:r>
              <w:rPr>
                <w:b/>
              </w:rPr>
              <w:t xml:space="preserve">Year Published</w:t>
            </w:r>
          </w:p>
        </w:tc>
        <w:tc>
          <w:tcPr>
            <w:tcBorders>
              <w:bottom w:val="single"/>
            </w:tcBorders>
            <w:vAlign w:val="bottom"/>
          </w:tcPr>
          <w:p>
            <w:pPr>
              <w:pStyle w:val="Compact"/>
              <w:jc w:val="left"/>
            </w:pPr>
            <w:r>
              <w:rPr>
                <w:b/>
              </w:rPr>
              <w:t xml:space="preserve">Prediction: Proportion of Jobs Significantly Affected by Automation</w:t>
            </w:r>
          </w:p>
        </w:tc>
        <w:tc>
          <w:tcPr>
            <w:tcBorders>
              <w:bottom w:val="single"/>
            </w:tcBorders>
            <w:vAlign w:val="bottom"/>
          </w:tcPr>
          <w:p>
            <w:pPr>
              <w:pStyle w:val="Compact"/>
              <w:jc w:val="left"/>
            </w:pPr>
            <w:r>
              <w:rPr>
                <w:b/>
              </w:rPr>
              <w:t xml:space="preserve">Time Horizon</w:t>
            </w:r>
          </w:p>
        </w:tc>
      </w:tr>
      <w:tr>
        <w:tc>
          <w:p>
            <w:pPr>
              <w:pStyle w:val="Compact"/>
              <w:jc w:val="left"/>
            </w:pPr>
            <w:r>
              <w:t xml:space="preserve">Oxford University (Frey &amp; Osborne)</w:t>
            </w:r>
          </w:p>
        </w:tc>
        <w:tc>
          <w:p>
            <w:pPr>
              <w:pStyle w:val="Compact"/>
              <w:jc w:val="left"/>
            </w:pPr>
            <w:r>
              <w:t xml:space="preserve">2013</w:t>
            </w:r>
          </w:p>
        </w:tc>
        <w:tc>
          <w:p>
            <w:pPr>
              <w:pStyle w:val="Compact"/>
              <w:jc w:val="left"/>
            </w:pPr>
            <w:r>
              <w:t xml:space="preserve">47% (United States)</w:t>
            </w:r>
          </w:p>
        </w:tc>
        <w:tc>
          <w:p>
            <w:pPr>
              <w:pStyle w:val="Compact"/>
              <w:jc w:val="left"/>
            </w:pPr>
            <w:r>
              <w:t xml:space="preserve">Next 10–20 years</w:t>
            </w:r>
          </w:p>
        </w:tc>
      </w:tr>
      <w:tr>
        <w:tc>
          <w:p>
            <w:pPr>
              <w:pStyle w:val="Compact"/>
              <w:jc w:val="left"/>
            </w:pPr>
            <w:r>
              <w:t xml:space="preserve">McKinsey Global Institute</w:t>
            </w:r>
          </w:p>
        </w:tc>
        <w:tc>
          <w:p>
            <w:pPr>
              <w:pStyle w:val="Compact"/>
              <w:jc w:val="left"/>
            </w:pPr>
            <w:r>
              <w:t xml:space="preserve">2017</w:t>
            </w:r>
          </w:p>
        </w:tc>
        <w:tc>
          <w:p>
            <w:pPr>
              <w:pStyle w:val="Compact"/>
              <w:jc w:val="left"/>
            </w:pPr>
            <w:r>
              <w:t xml:space="preserve">Approximately 50% of work activities automatable</w:t>
            </w:r>
          </w:p>
        </w:tc>
        <w:tc>
          <w:p>
            <w:pPr>
              <w:pStyle w:val="Compact"/>
              <w:jc w:val="left"/>
            </w:pPr>
            <w:r>
              <w:t xml:space="preserve">By 2030</w:t>
            </w:r>
          </w:p>
        </w:tc>
      </w:tr>
      <w:tr>
        <w:tc>
          <w:p>
            <w:pPr>
              <w:pStyle w:val="Compact"/>
              <w:jc w:val="left"/>
            </w:pPr>
            <w:r>
              <w:t xml:space="preserve">World Economic Forum</w:t>
            </w:r>
          </w:p>
        </w:tc>
        <w:tc>
          <w:p>
            <w:pPr>
              <w:pStyle w:val="Compact"/>
              <w:jc w:val="left"/>
            </w:pPr>
            <w:r>
              <w:t xml:space="preserve">2020</w:t>
            </w:r>
          </w:p>
        </w:tc>
        <w:tc>
          <w:p>
            <w:pPr>
              <w:pStyle w:val="Compact"/>
              <w:jc w:val="left"/>
            </w:pPr>
            <w:r>
              <w:t xml:space="preserve">85 million jobs displaced by machines</w:t>
            </w:r>
          </w:p>
        </w:tc>
        <w:tc>
          <w:p>
            <w:pPr>
              <w:pStyle w:val="Compact"/>
              <w:jc w:val="left"/>
            </w:pPr>
            <w:r>
              <w:t xml:space="preserve">By 2025</w:t>
            </w:r>
          </w:p>
        </w:tc>
      </w:tr>
      <w:tr>
        <w:tc>
          <w:p>
            <w:pPr>
              <w:pStyle w:val="Compact"/>
              <w:jc w:val="left"/>
            </w:pPr>
            <w:r>
              <w:t xml:space="preserve">OECD</w:t>
            </w:r>
          </w:p>
        </w:tc>
        <w:tc>
          <w:p>
            <w:pPr>
              <w:pStyle w:val="Compact"/>
              <w:jc w:val="left"/>
            </w:pPr>
            <w:r>
              <w:t xml:space="preserve">2019</w:t>
            </w:r>
          </w:p>
        </w:tc>
        <w:tc>
          <w:p>
            <w:pPr>
              <w:pStyle w:val="Compact"/>
              <w:jc w:val="left"/>
            </w:pPr>
            <w:r>
              <w:t xml:space="preserve">14% of jobs face high automation risk, 32% face significant change</w:t>
            </w:r>
          </w:p>
        </w:tc>
        <w:tc>
          <w:p>
            <w:pPr>
              <w:pStyle w:val="Compact"/>
              <w:jc w:val="left"/>
            </w:pPr>
            <w:r>
              <w:t xml:space="preserve">Near term</w:t>
            </w:r>
          </w:p>
        </w:tc>
      </w:tr>
      <w:tr>
        <w:tc>
          <w:p>
            <w:pPr>
              <w:pStyle w:val="Compact"/>
              <w:jc w:val="left"/>
            </w:pPr>
            <w:r>
              <w:t xml:space="preserve">Goldman Sachs</w:t>
            </w:r>
          </w:p>
        </w:tc>
        <w:tc>
          <w:p>
            <w:pPr>
              <w:pStyle w:val="Compact"/>
              <w:jc w:val="left"/>
            </w:pPr>
            <w:r>
              <w:t xml:space="preserve">2023</w:t>
            </w:r>
          </w:p>
        </w:tc>
        <w:tc>
          <w:p>
            <w:pPr>
              <w:pStyle w:val="Compact"/>
              <w:jc w:val="left"/>
            </w:pPr>
            <w:r>
              <w:t xml:space="preserve">Approximately 300 million full-time positions globally affected by generative AI</w:t>
            </w:r>
          </w:p>
        </w:tc>
        <w:tc>
          <w:p>
            <w:pPr>
              <w:pStyle w:val="Compact"/>
              <w:jc w:val="left"/>
            </w:pPr>
            <w:r>
              <w:t xml:space="preserve">Within 10 years</w:t>
            </w:r>
          </w:p>
        </w:tc>
      </w:tr>
    </w:tbl>
    <w:p>
      <w:pPr>
        <w:pStyle w:val="BodyText"/>
      </w:pPr>
      <w:r>
        <w:rPr>
          <w:rFonts w:ascii="Arial" w:hAnsi="Arial"/>
        </w:rPr>
        <w:t xml:space="preserve">The wide range of these figures exists because predicting employment changes is inherently uncertain. However, all mainstream research points in the same direction: AI automation’s impact on the labor market is structural, large-scale, and will proceed far faster than any previous technological revolution in history (industrialization, electrification, computerization).</w:t>
      </w:r>
    </w:p>
    <w:p>
      <w:pPr>
        <w:pStyle w:val="BodyText"/>
      </w:pPr>
      <w:r>
        <w:rPr>
          <w:rFonts w:ascii="Arial" w:hAnsi="Arial"/>
        </w:rPr>
        <w:t xml:space="preserve">Historically, technological revolutions ultimately created more employment than they destroyed—this is a genuine historical record. But history also shows abundant transitional suffering: during the Industrial Revolution, British workers’ real wages stagnated for decades, during which severe poverty and social unrest occurred. The distinctive feature of the AI revolution is that its speed exceeds any previous revolution in history, and there is fundamental uncertainty about whether the creation of new job opportunities can timely fill the void left by eliminated jobs.</w:t>
      </w:r>
    </w:p>
    <w:p>
      <w:pPr>
        <w:pStyle w:val="BodyText"/>
      </w:pPr>
      <w:r>
        <w:rPr>
          <w:rFonts w:ascii="Arial" w:hAnsi="Arial"/>
          <w:b/>
        </w:rPr>
        <w:t xml:space="preserve">Key Insight:</w:t>
      </w:r>
      <w:r>
        <w:rPr>
          <w:rFonts w:ascii="Arial" w:hAnsi="Arial"/>
        </w:rPr>
        <w:t xml:space="preserve"> </w:t>
      </w:r>
      <w:r>
        <w:rPr>
          <w:rFonts w:ascii="Arial" w:hAnsi="Arial"/>
        </w:rPr>
        <w:t xml:space="preserve">Even if automation is ultimately net positive (creating more value in the long run), the wealth distribution mechanisms during the transition period determine whether this net positive can be widely shared or concentrated among the few owners of AI technology. Without actively designed distribution mechanisms, historical patterns tell us: technological dividends will be distributed in an extremely unequal manner.</w:t>
      </w:r>
    </w:p>
    <w:p>
      <w:pPr>
        <w:pStyle w:val="BodyText"/>
      </w:pPr>
      <w:r>
        <w:rPr>
          <w:rFonts w:ascii="Arial" w:hAnsi="Arial"/>
          <w:b/>
        </w:rPr>
        <w:t xml:space="preserve">5.3 AI Labor Tax: A Technical Compensation Mechanism for Automation Dividends</w:t>
      </w:r>
    </w:p>
    <w:p>
      <w:pPr>
        <w:pStyle w:val="BodyText"/>
      </w:pPr>
      <w:r>
        <w:rPr>
          <w:rFonts w:ascii="Arial" w:hAnsi="Arial"/>
        </w:rPr>
        <w:t xml:space="preserve">The AI Labor Tax is the core revenue mechanism of the economic protocol. Its logical starting point is a simple economic observation: when an AI system completes work that was previously done by humans, the economic value generated by that work still exists; only its distribution pathway has changed from wages (flowing to workers) to profits (flowing to the owners of the AI system). The AI Labor Tax is a technical compensation for this value transfer.</w:t>
      </w:r>
    </w:p>
    <w:p>
      <w:pPr>
        <w:pStyle w:val="BodyText"/>
      </w:pPr>
      <w:r>
        <w:rPr>
          <w:rFonts w:ascii="Arial" w:hAnsi="Arial"/>
          <w:b/>
        </w:rPr>
        <w:t xml:space="preserve">Tax Rate Formula</w:t>
      </w:r>
    </w:p>
    <w:p>
      <w:pPr>
        <w:pStyle w:val="BlockText"/>
      </w:pPr>
      <w:r>
        <w:rPr>
          <w:rFonts w:ascii="Arial" w:hAnsi="Arial"/>
          <w:b/>
        </w:rPr>
        <w:t xml:space="preserve">AI Labor Tax Calculation Formula</w:t>
      </w:r>
    </w:p>
    <w:p>
      <w:pPr>
        <w:pStyle w:val="FirstParagraph"/>
      </w:pPr>
      <w:r>
        <w:rPr>
          <w:rFonts w:ascii="Arial" w:hAnsi="Arial"/>
          <w:b/>
        </w:rPr>
        <w:t xml:space="preserve">AI Tax = Work Units × Job Replacement Coefficient × Base Tax Rate</w:t>
      </w:r>
    </w:p>
    <w:p>
      <w:pPr>
        <w:pStyle w:val="BlockText"/>
      </w:pPr>
      <w:r>
        <w:rPr>
          <w:rFonts w:ascii="Arial" w:hAnsi="Arial"/>
          <w:i/>
        </w:rPr>
        <w:t xml:space="preserve">Work Units: The effective volume of tasks executed by the AI system (API calls, automated process completions, hours saved, taking the maximum value); Job Replacement Coefficient: The degree of employment displacement caused by AI penetration in that industry (0–1, dynamically updated with quarterly data); Base Tax Rate: Set by Popular Vote, constitutionally constrained between 5%–25%.</w:t>
      </w:r>
    </w:p>
    <w:p>
      <w:pPr>
        <w:pStyle w:val="FirstParagraph"/>
      </w:pPr>
      <w:r>
        <w:rPr>
          <w:rFonts w:ascii="Arial" w:hAnsi="Arial"/>
        </w:rPr>
        <w:t xml:space="preserve">The design logic of the three variables each has its own emphasis:</w:t>
      </w:r>
    </w:p>
    <w:p>
      <w:pPr>
        <w:numPr>
          <w:ilvl w:val="0"/>
          <w:numId w:val="1002"/>
        </w:numPr>
      </w:pPr>
      <w:r>
        <w:rPr>
          <w:rFonts w:ascii="Arial" w:hAnsi="Arial"/>
          <w:b/>
        </w:rPr>
        <w:t xml:space="preserve">Work Unit Measurement</w:t>
      </w:r>
      <w:r>
        <w:rPr>
          <w:rFonts w:ascii="Arial" w:hAnsi="Arial"/>
        </w:rPr>
        <w:t xml:space="preserve"> </w:t>
      </w:r>
      <w:r>
        <w:rPr>
          <w:rFonts w:ascii="Arial" w:hAnsi="Arial"/>
        </w:rPr>
        <w:t xml:space="preserve">addresses the measurement problem of</w:t>
      </w:r>
      <w:r>
        <w:rPr>
          <w:rFonts w:ascii="Arial" w:hAnsi="Arial"/>
        </w:rPr>
        <w:t xml:space="preserve"> </w:t>
      </w:r>
      <w:r>
        <w:rPr>
          <w:rFonts w:ascii="Arial" w:hAnsi="Arial"/>
        </w:rPr>
        <w:t xml:space="preserve">“</w:t>
      </w:r>
      <w:r>
        <w:rPr>
          <w:rFonts w:ascii="Arial" w:hAnsi="Arial"/>
        </w:rPr>
        <w:t xml:space="preserve">how much work did the AI do.</w:t>
      </w:r>
      <w:r>
        <w:rPr>
          <w:rFonts w:ascii="Arial" w:hAnsi="Arial"/>
        </w:rPr>
        <w:t xml:space="preserve">”</w:t>
      </w:r>
      <w:r>
        <w:rPr>
          <w:rFonts w:ascii="Arial" w:hAnsi="Arial"/>
        </w:rPr>
        <w:t xml:space="preserve"> </w:t>
      </w:r>
      <w:r>
        <w:rPr>
          <w:rFonts w:ascii="Arial" w:hAnsi="Arial"/>
        </w:rPr>
        <w:t xml:space="preserve">Taking the maximum value across three dimensions rather than the average prevents enterprises from under-reporting by adjusting reporting dimensions. Measurement methods are reviewed and updated every two years by the Technical Committee to adapt to the evolution of AI technology itself.</w:t>
      </w:r>
    </w:p>
    <w:p>
      <w:pPr>
        <w:numPr>
          <w:ilvl w:val="0"/>
          <w:numId w:val="1002"/>
        </w:numPr>
      </w:pPr>
      <w:r>
        <w:rPr>
          <w:rFonts w:ascii="Arial" w:hAnsi="Arial"/>
          <w:b/>
        </w:rPr>
        <w:t xml:space="preserve">Job Replacement Coefficient</w:t>
      </w:r>
      <w:r>
        <w:rPr>
          <w:rFonts w:ascii="Arial" w:hAnsi="Arial"/>
        </w:rPr>
        <w:t xml:space="preserve"> </w:t>
      </w:r>
      <w:r>
        <w:rPr>
          <w:rFonts w:ascii="Arial" w:hAnsi="Arial"/>
        </w:rPr>
        <w:t xml:space="preserve">addresses the fairness concern of</w:t>
      </w:r>
      <w:r>
        <w:rPr>
          <w:rFonts w:ascii="Arial" w:hAnsi="Arial"/>
        </w:rPr>
        <w:t xml:space="preserve"> </w:t>
      </w:r>
      <w:r>
        <w:rPr>
          <w:rFonts w:ascii="Arial" w:hAnsi="Arial"/>
        </w:rPr>
        <w:t xml:space="preserve">“</w:t>
      </w:r>
      <w:r>
        <w:rPr>
          <w:rFonts w:ascii="Arial" w:hAnsi="Arial"/>
        </w:rPr>
        <w:t xml:space="preserve">different industries are affected differently.</w:t>
      </w:r>
      <w:r>
        <w:rPr>
          <w:rFonts w:ascii="Arial" w:hAnsi="Arial"/>
        </w:rPr>
        <w:t xml:space="preserve">”</w:t>
      </w:r>
      <w:r>
        <w:rPr>
          <w:rFonts w:ascii="Arial" w:hAnsi="Arial"/>
        </w:rPr>
        <w:t xml:space="preserve"> </w:t>
      </w:r>
      <w:r>
        <w:rPr>
          <w:rFonts w:ascii="Arial" w:hAnsi="Arial"/>
        </w:rPr>
        <w:t xml:space="preserve">Industries with high automation (warehouse logistics, basic data processing, standardized customer service) have coefficients close to 1; industries requiring substantial human creativity and emotional investment (artistic creation, psychological counseling, complex engineering design) have coefficients close to 0. Coefficients are updated quarterly based on actual employment data, not fixed administrative determinations.</w:t>
      </w:r>
    </w:p>
    <w:p>
      <w:pPr>
        <w:numPr>
          <w:ilvl w:val="0"/>
          <w:numId w:val="1002"/>
        </w:numPr>
      </w:pPr>
      <w:r>
        <w:rPr>
          <w:rFonts w:ascii="Arial" w:hAnsi="Arial"/>
          <w:b/>
        </w:rPr>
        <w:t xml:space="preserve">Base Tax Rate</w:t>
      </w:r>
      <w:r>
        <w:rPr>
          <w:rFonts w:ascii="Arial" w:hAnsi="Arial"/>
        </w:rPr>
        <w:t xml:space="preserve"> </w:t>
      </w:r>
      <w:r>
        <w:rPr>
          <w:rFonts w:ascii="Arial" w:hAnsi="Arial"/>
        </w:rPr>
        <w:t xml:space="preserve">is the only variable among the three that requires democratic decision-making. The Constitution sets a 5% lower bound (ensuring the tax system has substantive meaning) and a 25% upper bound (preventing populist overtaxation from stifling innovation), with Popular Vote setting the rate within this range every two years.</w:t>
      </w:r>
    </w:p>
    <w:p>
      <w:pPr>
        <w:pStyle w:val="FirstParagraph"/>
      </w:pPr>
      <w:r>
        <w:rPr>
          <w:rFonts w:ascii="Arial" w:hAnsi="Arial"/>
          <w:b/>
        </w:rPr>
        <w:t xml:space="preserve">Exemption Rules: Protecting Innovation Without Protecting Monopoly</w:t>
      </w:r>
    </w:p>
    <w:tbl>
      <w:tblPr>
        <w:tblStyle w:val="Table"/>
        <w:tblW w:type="pct" w:w="5000.0"/>
        <w:tblLook w:firstRow="1"/>
      </w:tblPr>
      <w:tblGrid>
        <w:gridCol w:w="1193"/>
        <w:gridCol w:w="3309"/>
        <w:gridCol w:w="2115"/>
        <w:gridCol w:w="1301"/>
      </w:tblGrid>
      <w:tr>
        <w:trPr>
          <w:cnfStyle w:firstRow="1"/>
        </w:trPr>
        <w:tc>
          <w:tcPr>
            <w:tcBorders>
              <w:bottom w:val="single"/>
            </w:tcBorders>
            <w:vAlign w:val="bottom"/>
          </w:tcPr>
          <w:p>
            <w:pPr>
              <w:pStyle w:val="Compact"/>
              <w:jc w:val="left"/>
            </w:pPr>
            <w:r>
              <w:rPr>
                <w:b/>
              </w:rPr>
              <w:t xml:space="preserve">Exemption Type</w:t>
            </w:r>
          </w:p>
        </w:tc>
        <w:tc>
          <w:tcPr>
            <w:tcBorders>
              <w:bottom w:val="single"/>
            </w:tcBorders>
            <w:vAlign w:val="bottom"/>
          </w:tcPr>
          <w:p>
            <w:pPr>
              <w:pStyle w:val="Compact"/>
              <w:jc w:val="left"/>
            </w:pPr>
            <w:r>
              <w:rPr>
                <w:b/>
              </w:rPr>
              <w:t xml:space="preserve">Conditions</w:t>
            </w:r>
          </w:p>
        </w:tc>
        <w:tc>
          <w:tcPr>
            <w:tcBorders>
              <w:bottom w:val="single"/>
            </w:tcBorders>
            <w:vAlign w:val="bottom"/>
          </w:tcPr>
          <w:p>
            <w:pPr>
              <w:pStyle w:val="Compact"/>
              <w:jc w:val="left"/>
            </w:pPr>
            <w:r>
              <w:rPr>
                <w:b/>
              </w:rPr>
              <w:t xml:space="preserve">Exemption Amount</w:t>
            </w:r>
          </w:p>
        </w:tc>
        <w:tc>
          <w:tcPr>
            <w:tcBorders>
              <w:bottom w:val="single"/>
            </w:tcBorders>
            <w:vAlign w:val="bottom"/>
          </w:tcPr>
          <w:p>
            <w:pPr>
              <w:pStyle w:val="Compact"/>
              <w:jc w:val="left"/>
            </w:pPr>
            <w:r>
              <w:rPr>
                <w:b/>
              </w:rPr>
              <w:t xml:space="preserve">Duration</w:t>
            </w:r>
          </w:p>
        </w:tc>
      </w:tr>
      <w:tr>
        <w:tc>
          <w:p>
            <w:pPr>
              <w:pStyle w:val="Compact"/>
              <w:jc w:val="left"/>
            </w:pPr>
            <w:r>
              <w:t xml:space="preserve">Startup Exemption</w:t>
            </w:r>
          </w:p>
        </w:tc>
        <w:tc>
          <w:p>
            <w:pPr>
              <w:pStyle w:val="Compact"/>
              <w:jc w:val="left"/>
            </w:pPr>
            <w:r>
              <w:t xml:space="preserve">Registered less than 3 years, annual revenue below 0.01% of city GDP</w:t>
            </w:r>
          </w:p>
        </w:tc>
        <w:tc>
          <w:p>
            <w:pPr>
              <w:pStyle w:val="Compact"/>
              <w:jc w:val="left"/>
            </w:pPr>
            <w:r>
              <w:t xml:space="preserve">Tax amount halved</w:t>
            </w:r>
          </w:p>
        </w:tc>
        <w:tc>
          <w:p>
            <w:pPr>
              <w:pStyle w:val="Compact"/>
              <w:jc w:val="left"/>
            </w:pPr>
            <w:r>
              <w:t xml:space="preserve">3 years after registration</w:t>
            </w:r>
          </w:p>
        </w:tc>
      </w:tr>
      <w:tr>
        <w:tc>
          <w:p>
            <w:pPr>
              <w:pStyle w:val="Compact"/>
              <w:jc w:val="left"/>
            </w:pPr>
            <w:r>
              <w:t xml:space="preserve">R&amp;D Investment Deduction</w:t>
            </w:r>
          </w:p>
        </w:tc>
        <w:tc>
          <w:p>
            <w:pPr>
              <w:pStyle w:val="Compact"/>
              <w:jc w:val="left"/>
            </w:pPr>
            <w:r>
              <w:t xml:space="preserve">Verifiable AI safety and alignment research investment</w:t>
            </w:r>
          </w:p>
        </w:tc>
        <w:tc>
          <w:p>
            <w:pPr>
              <w:pStyle w:val="Compact"/>
              <w:jc w:val="left"/>
            </w:pPr>
            <w:r>
              <w:t xml:space="preserve">1:1.5 deduction (1 yuan invested deducts 1.5 yuan in tax)</w:t>
            </w:r>
          </w:p>
        </w:tc>
        <w:tc>
          <w:p>
            <w:pPr>
              <w:pStyle w:val="Compact"/>
              <w:jc w:val="left"/>
            </w:pPr>
            <w:r>
              <w:t xml:space="preserve">Continuously valid</w:t>
            </w:r>
          </w:p>
        </w:tc>
      </w:tr>
      <w:tr>
        <w:tc>
          <w:p>
            <w:pPr>
              <w:pStyle w:val="Compact"/>
              <w:jc w:val="left"/>
            </w:pPr>
            <w:r>
              <w:t xml:space="preserve">Social Benefit Bonus</w:t>
            </w:r>
          </w:p>
        </w:tc>
        <w:tc>
          <w:p>
            <w:pPr>
              <w:pStyle w:val="Compact"/>
              <w:jc w:val="left"/>
            </w:pPr>
            <w:r>
              <w:t xml:space="preserve">AI applications demonstrably creating direct employment for low-income groups</w:t>
            </w:r>
          </w:p>
        </w:tc>
        <w:tc>
          <w:p>
            <w:pPr>
              <w:pStyle w:val="Compact"/>
              <w:jc w:val="left"/>
            </w:pPr>
            <w:r>
              <w:t xml:space="preserve">Tax rate reduced by 5%</w:t>
            </w:r>
          </w:p>
        </w:tc>
        <w:tc>
          <w:p>
            <w:pPr>
              <w:pStyle w:val="Compact"/>
              <w:jc w:val="left"/>
            </w:pPr>
            <w:r>
              <w:t xml:space="preserve">Reassessed annually</w:t>
            </w:r>
          </w:p>
        </w:tc>
      </w:tr>
      <w:tr>
        <w:tc>
          <w:p>
            <w:pPr>
              <w:pStyle w:val="Compact"/>
              <w:jc w:val="left"/>
            </w:pPr>
            <w:r>
              <w:t xml:space="preserve">Retraining Investment Deduction</w:t>
            </w:r>
          </w:p>
        </w:tc>
        <w:tc>
          <w:p>
            <w:pPr>
              <w:pStyle w:val="Compact"/>
              <w:jc w:val="left"/>
            </w:pPr>
            <w:r>
              <w:t xml:space="preserve">Retraining expenses provided for employees displaced by automation</w:t>
            </w:r>
          </w:p>
        </w:tc>
        <w:tc>
          <w:p>
            <w:pPr>
              <w:pStyle w:val="Compact"/>
              <w:jc w:val="left"/>
            </w:pPr>
            <w:r>
              <w:t xml:space="preserve">1:1 deduction</w:t>
            </w:r>
          </w:p>
        </w:tc>
        <w:tc>
          <w:p>
            <w:pPr>
              <w:pStyle w:val="Compact"/>
              <w:jc w:val="left"/>
            </w:pPr>
            <w:r>
              <w:t xml:space="preserve">Continuously valid</w:t>
            </w:r>
          </w:p>
        </w:tc>
      </w:tr>
    </w:tbl>
    <w:p>
      <w:pPr>
        <w:pStyle w:val="BodyText"/>
      </w:pPr>
      <w:r>
        <w:rPr>
          <w:rFonts w:ascii="Arial" w:hAnsi="Arial"/>
        </w:rPr>
        <w:t xml:space="preserve">The design principle of exemption rules is: exemptions should incentivize behaviors with positive social external effects, not simply reduce tax burdens for large enterprises. All exemption applications must submit verifiable on-chain documentation; the AI Tax Module automatically verifies with no human intervention.</w:t>
      </w:r>
    </w:p>
    <w:p>
      <w:pPr>
        <w:pStyle w:val="BodyText"/>
      </w:pPr>
      <w:r>
        <w:rPr>
          <w:rFonts w:ascii="Arial" w:hAnsi="Arial"/>
          <w:b/>
        </w:rPr>
        <w:t xml:space="preserve">5.4 Universal Basic Income (UBI): Designing a Sustainable Safety Net</w:t>
      </w:r>
    </w:p>
    <w:p>
      <w:pPr>
        <w:pStyle w:val="BodyText"/>
      </w:pPr>
      <w:r>
        <w:rPr>
          <w:rFonts w:ascii="Arial" w:hAnsi="Arial"/>
        </w:rPr>
        <w:t xml:space="preserve">Universal Basic Income (UBI) is the most controversial component of the economic protocol and the component requiring the most precise design. This section does not argue whether UBI should exist—the engineering constraint analysis has already answered this question. This section’s task is: designing a UBI system that is sustainable, positively incentivizing, and capable of operating in a real city.</w:t>
      </w:r>
    </w:p>
    <w:p>
      <w:pPr>
        <w:pStyle w:val="BodyText"/>
      </w:pPr>
      <w:r>
        <w:rPr>
          <w:rFonts w:ascii="Arial" w:hAnsi="Arial"/>
          <w:b/>
        </w:rPr>
        <w:t xml:space="preserve">Why Most Existing Criticisms of UBI Are Criticisms of Design Problems, Not Criticisms of the Concept Itself</w:t>
      </w:r>
    </w:p>
    <w:p>
      <w:pPr>
        <w:pStyle w:val="BodyText"/>
      </w:pPr>
      <w:r>
        <w:rPr>
          <w:rFonts w:ascii="Arial" w:hAnsi="Arial"/>
        </w:rPr>
        <w:t xml:space="preserve">The most common criticisms of UBI focus on four points: where the money comes from, whether it will cause people to lose work motivation, whether it will lead to inflation, and whether it can actually solve poverty. These four criticisms are all criticisms of poorly designed UBI, not fundamental rejections of the UBI concept itself.</w:t>
      </w:r>
    </w:p>
    <w:p>
      <w:pPr>
        <w:pStyle w:val="BodyText"/>
      </w:pPr>
      <w:r>
        <w:rPr>
          <w:rFonts w:ascii="Arial" w:hAnsi="Arial"/>
          <w:b/>
        </w:rPr>
        <w:t xml:space="preserve">Criticism</w:t>
      </w:r>
      <w:r>
        <w:rPr>
          <w:rFonts w:ascii="Arial" w:hAnsi="Arial"/>
        </w:rPr>
        <w:t xml:space="preserve"> </w:t>
      </w:r>
      <w:r>
        <w:rPr>
          <w:rFonts w:ascii="Arial" w:hAnsi="Arial"/>
        </w:rPr>
        <w:t xml:space="preserve">|</w:t>
      </w:r>
      <w:r>
        <w:rPr>
          <w:rFonts w:ascii="Arial" w:hAnsi="Arial"/>
        </w:rPr>
        <w:t xml:space="preserve"> </w:t>
      </w:r>
      <w:r>
        <w:rPr>
          <w:rFonts w:ascii="Arial" w:hAnsi="Arial"/>
          <w:b/>
        </w:rPr>
        <w:t xml:space="preserve">Validity</w:t>
      </w:r>
      <w:r>
        <w:rPr>
          <w:rFonts w:ascii="Arial" w:hAnsi="Arial"/>
        </w:rPr>
        <w:t xml:space="preserve"> </w:t>
      </w:r>
      <w:r>
        <w:rPr>
          <w:rFonts w:ascii="Arial" w:hAnsi="Arial"/>
        </w:rPr>
        <w:t xml:space="preserve">|</w:t>
      </w:r>
      <w:r>
        <w:rPr>
          <w:rFonts w:ascii="Arial" w:hAnsi="Arial"/>
        </w:rPr>
        <w:t xml:space="preserve"> </w:t>
      </w:r>
      <w:r>
        <w:rPr>
          <w:rFonts w:ascii="Arial" w:hAnsi="Arial"/>
          <w:b/>
        </w:rPr>
        <w:t xml:space="preserve">Design Response of This Protocol</w:t>
      </w:r>
      <w:r>
        <w:rPr>
          <w:rFonts w:ascii="Arial" w:hAnsi="Arial"/>
        </w:rPr>
        <w:t xml:space="preserve"> </w:t>
      </w:r>
      <w:r>
        <w:rPr>
          <w:rFonts w:ascii="Arial" w:hAnsi="Arial"/>
        </w:rPr>
        <w:t xml:space="preserve">where does the money come from | Valid——Must have sustainable funding source | AI Labor Tax provides dedicated fund pool; urban AI system net income supplementation; on-chain fiscal transparency ensures traceable fund usage</w:t>
      </w:r>
      <w:r>
        <w:rPr>
          <w:rFonts w:ascii="Arial" w:hAnsi="Arial"/>
        </w:rPr>
        <w:t xml:space="preserve"> </w:t>
      </w:r>
      <w:r>
        <w:rPr>
          <w:rFonts w:ascii="Arial" w:hAnsi="Arial"/>
        </w:rPr>
        <w:t xml:space="preserve">Loss of motivation to work | Partially valid——Amount design needs careful consideration | UBI set to cover basic living costs rather than comfortable living; social contribution adjustment coefficient provides positive incentives; Finland/Kenya experiment data shows limited impact</w:t>
      </w:r>
      <w:r>
        <w:rPr>
          <w:rFonts w:ascii="Arial" w:hAnsi="Arial"/>
        </w:rPr>
        <w:t xml:space="preserve"> </w:t>
      </w:r>
      <w:r>
        <w:rPr>
          <w:rFonts w:ascii="Arial" w:hAnsi="Arial"/>
        </w:rPr>
        <w:t xml:space="preserve">cause inflation | Valid——Must control funding sources | Funding comes from AI Labor Tax (redistribution of productivity gains), not money creation; AIGC economic regulation module monitors inflation indicators in real-time, automatically adjusts</w:t>
      </w:r>
      <w:r>
        <w:rPr>
          <w:rFonts w:ascii="Arial" w:hAnsi="Arial"/>
        </w:rPr>
        <w:t xml:space="preserve"> </w:t>
      </w:r>
      <w:r>
        <w:rPr>
          <w:rFonts w:ascii="Arial" w:hAnsi="Arial"/>
        </w:rPr>
        <w:t xml:space="preserve">cannot solve poverty | Partially valid——Requires supporting measures | UBI is a basic safety net, not the complete solution; needs to work alongside public healthcare, education, and housing policies</w:t>
      </w:r>
    </w:p>
    <w:p>
      <w:r>
        <w:rPr>
          <w:rFonts w:ascii="Arial" w:hAnsi="Arial"/>
        </w:rPr>
        <w:pict>
          <v:rect style="width:0;height:1.5pt" o:hralign="center" o:hrstd="t" o:hr="t"/>
        </w:pict>
      </w:r>
    </w:p>
    <w:p>
      <w:pPr>
        <w:pStyle w:val="FirstParagraph"/>
      </w:pPr>
      <w:r>
        <w:rPr>
          <w:rFonts w:ascii="Arial" w:hAnsi="Arial"/>
          <w:b/>
        </w:rPr>
        <w:t xml:space="preserve">UBI Amount Formula</w:t>
      </w:r>
    </w:p>
    <w:p>
      <w:pPr>
        <w:pStyle w:val="BlockText"/>
      </w:pPr>
      <w:r>
        <w:rPr>
          <w:rFonts w:ascii="Arial" w:hAnsi="Arial"/>
          <w:b/>
        </w:rPr>
        <w:t xml:space="preserve">Monthly UBI Amount</w:t>
      </w:r>
    </w:p>
    <w:p>
      <w:pPr>
        <w:pStyle w:val="FirstParagraph"/>
      </w:pPr>
      <w:r>
        <w:rPr>
          <w:rFonts w:ascii="Arial" w:hAnsi="Arial"/>
          <w:b/>
        </w:rPr>
        <w:t xml:space="preserve">UBI Monthly = Base Amount × Years of Residence Coefficient × Social Contribution Adjustment Coefficient</w:t>
      </w:r>
    </w:p>
    <w:p>
      <w:pPr>
        <w:pStyle w:val="BlockText"/>
      </w:pPr>
      <w:r>
        <w:rPr>
          <w:rFonts w:ascii="Arial" w:hAnsi="Arial"/>
          <w:i/>
        </w:rPr>
        <w:t xml:space="preserve">Base Amount: Equal to the city’s minimum living cost (calculated by AIGC quarterly based on actual consumption data, automatically adjusted); Years of Residence Coefficient: 1.0 (first year) to 1.2 (10+ years), increasing by 0.02 each year; Social Contribution Adjustment Coefficient: 0.9 to 1.5, based on on-chain verifiable contribution records.</w:t>
      </w:r>
    </w:p>
    <w:p>
      <w:pPr>
        <w:pStyle w:val="FirstParagraph"/>
      </w:pPr>
      <w:r>
        <w:rPr>
          <w:rFonts w:ascii="Arial" w:hAnsi="Arial"/>
          <w:b/>
        </w:rPr>
        <w:t xml:space="preserve">UBI Funding Sources and Sustainability</w:t>
      </w:r>
    </w:p>
    <w:p>
      <w:pPr>
        <w:pStyle w:val="BodyText"/>
      </w:pPr>
      <w:r>
        <w:rPr>
          <w:rFonts w:ascii="Arial" w:hAnsi="Arial"/>
        </w:rPr>
        <w:t xml:space="preserve">The sustainability of UBI funding is a critical engineering issue for the entire economic protocol. This protocol designs three layers of funding sources, arranged by priority:</w:t>
      </w:r>
    </w:p>
    <w:p>
      <w:pPr>
        <w:numPr>
          <w:ilvl w:val="0"/>
          <w:numId w:val="1003"/>
        </w:numPr>
      </w:pPr>
      <w:r>
        <w:rPr>
          <w:rFonts w:ascii="Arial" w:hAnsi="Arial"/>
        </w:rPr>
        <w:t xml:space="preserve">First Layer (Primary Source): AI Labor Tax dedicated pool. 70% of AI Labor Tax revenue is directly injected into the UBI dedicated fund pool, automatically allocated by the AIGC fiscal management module, bypassing any human intervention.</w:t>
      </w:r>
    </w:p>
    <w:p>
      <w:pPr>
        <w:numPr>
          <w:ilvl w:val="0"/>
          <w:numId w:val="1003"/>
        </w:numPr>
      </w:pPr>
      <w:r>
        <w:rPr>
          <w:rFonts w:ascii="Arial" w:hAnsi="Arial"/>
        </w:rPr>
        <w:t xml:space="preserve">Second Layer (Supplementary Source): Urban AI system net income. Service fees charged by various AI systems operated by the city (judicial systems, fiscal systems, approval systems), minus operating costs, with 50% of net income entering the UBI fund pool.</w:t>
      </w:r>
    </w:p>
    <w:p>
      <w:pPr>
        <w:numPr>
          <w:ilvl w:val="0"/>
          <w:numId w:val="1003"/>
        </w:numPr>
      </w:pPr>
      <w:r>
        <w:rPr>
          <w:rFonts w:ascii="Arial" w:hAnsi="Arial"/>
        </w:rPr>
        <w:t xml:space="preserve">Third Layer (Reserve Guarantee): 12-month mandatory reserve. The Constitution requires cities to always maintain reserves sufficient to pay 12 months of full UBI, stored in independent on-chain accounts, not accessible without unanimous consent of the Elder Council.</w:t>
      </w:r>
    </w:p>
    <w:p>
      <w:pPr>
        <w:pStyle w:val="FirstParagraph"/>
      </w:pPr>
      <w:r>
        <w:rPr>
          <w:rFonts w:ascii="Arial" w:hAnsi="Arial"/>
        </w:rPr>
        <w:t xml:space="preserve">During the early stages of experimental communities, AI Labor Tax revenue may be insufficient to fully support UBI. This period requires external startup funding——from DAO crowdfunding, impact investments, or strategic partnership sovereign funds. Estimate: For an experimental community of 10,000 residents, UBI of $500 per person per month requires approximately $60 million annually. This magnitude is feasible for impact investors with a clear vision, especially considering that this investment purchases</w:t>
      </w:r>
      <w:r>
        <w:rPr>
          <w:rFonts w:ascii="Arial" w:hAnsi="Arial"/>
        </w:rPr>
        <w:t xml:space="preserve"> </w:t>
      </w:r>
      <w:r>
        <w:rPr>
          <w:rFonts w:ascii="Arial" w:hAnsi="Arial"/>
        </w:rPr>
        <w:t xml:space="preserve">“</w:t>
      </w:r>
      <w:r>
        <w:rPr>
          <w:rFonts w:ascii="Arial" w:hAnsi="Arial"/>
        </w:rPr>
        <w:t xml:space="preserve">AI governance experiment participation rights and data access rights.</w:t>
      </w:r>
      <w:r>
        <w:rPr>
          <w:rFonts w:ascii="Arial" w:hAnsi="Arial"/>
        </w:rPr>
        <w:t xml:space="preserve">”</w:t>
      </w:r>
    </w:p>
    <w:p>
      <w:pPr>
        <w:pStyle w:val="BodyText"/>
      </w:pPr>
      <w:r>
        <w:rPr>
          <w:rFonts w:ascii="Arial" w:hAnsi="Arial"/>
          <w:b/>
        </w:rPr>
        <w:t xml:space="preserve">UBI and Work Incentives: What the Data Says</w:t>
      </w:r>
    </w:p>
    <w:p>
      <w:pPr>
        <w:pStyle w:val="BodyText"/>
      </w:pPr>
      <w:r>
        <w:rPr>
          <w:rFonts w:ascii="Arial" w:hAnsi="Arial"/>
        </w:rPr>
        <w:t xml:space="preserve">Finland’s 2017-2018 UBI experiment (2,000 unemployed participants, €560/month), Kenya’s GiveDirectly long-term unconditional cash transfer program, Canada’s Mincome experiment——the consistent conclusions from these real-world data are:</w:t>
      </w:r>
    </w:p>
    <w:p>
      <w:pPr>
        <w:numPr>
          <w:ilvl w:val="0"/>
          <w:numId w:val="1004"/>
        </w:numPr>
      </w:pPr>
      <w:r>
        <w:rPr>
          <w:rFonts w:ascii="Arial" w:hAnsi="Arial"/>
        </w:rPr>
        <w:t xml:space="preserve">UBI did not significantly reduce beneficiary work participation rates (Finland experiment: beneficiary group working hours 6% higher than control group)</w:t>
      </w:r>
    </w:p>
    <w:p>
      <w:pPr>
        <w:numPr>
          <w:ilvl w:val="0"/>
          <w:numId w:val="1004"/>
        </w:numPr>
      </w:pPr>
      <w:r>
        <w:rPr>
          <w:rFonts w:ascii="Arial" w:hAnsi="Arial"/>
        </w:rPr>
        <w:t xml:space="preserve">UBI increased entrepreneurial willingness (beneficiaries more willing to take career risks because they have basic security)</w:t>
      </w:r>
    </w:p>
    <w:p>
      <w:pPr>
        <w:numPr>
          <w:ilvl w:val="0"/>
          <w:numId w:val="1004"/>
        </w:numPr>
      </w:pPr>
      <w:r>
        <w:rPr>
          <w:rFonts w:ascii="Arial" w:hAnsi="Arial"/>
        </w:rPr>
        <w:t xml:space="preserve">UBI improved mental health outcomes (Kenya data: significant reduction in depressive symptoms, improvement in children’s nutritional status)</w:t>
      </w:r>
    </w:p>
    <w:p>
      <w:pPr>
        <w:numPr>
          <w:ilvl w:val="0"/>
          <w:numId w:val="1004"/>
        </w:numPr>
      </w:pPr>
      <w:r>
        <w:rPr>
          <w:rFonts w:ascii="Arial" w:hAnsi="Arial"/>
        </w:rPr>
        <w:t xml:space="preserve">UBI produced positive effects on high-value creative work (beneficiaries invested more in education and skills development)</w:t>
      </w:r>
    </w:p>
    <w:p>
      <w:pPr>
        <w:pStyle w:val="FirstParagraph"/>
      </w:pPr>
      <w:r>
        <w:rPr>
          <w:rFonts w:ascii="Arial" w:hAnsi="Arial"/>
        </w:rPr>
        <w:t xml:space="preserve">This protocol’s UBI design references the range of the above studies:</w:t>
      </w:r>
      <w:r>
        <w:rPr>
          <w:rFonts w:ascii="Arial" w:hAnsi="Arial"/>
        </w:rPr>
        <w:t xml:space="preserve"> </w:t>
      </w:r>
      <w:r>
        <w:rPr>
          <w:rFonts w:ascii="Arial" w:hAnsi="Arial"/>
          <w:b/>
        </w:rPr>
        <w:t xml:space="preserve">Covering basic living costs, but not replacing the income incentives of meaningful work.</w:t>
      </w:r>
      <w:r>
        <w:rPr>
          <w:rFonts w:ascii="Arial" w:hAnsi="Arial"/>
        </w:rPr>
        <w:t xml:space="preserve"> </w:t>
      </w:r>
      <w:r>
        <w:rPr>
          <w:rFonts w:ascii="Arial" w:hAnsi="Arial"/>
        </w:rPr>
        <w:t xml:space="preserve">A person can live with dignity on UBI, but cannot achieve middle-class quality of life——this balance is deliberately designed.</w:t>
      </w:r>
    </w:p>
    <w:p>
      <w:pPr>
        <w:pStyle w:val="BodyText"/>
      </w:pPr>
      <w:r>
        <w:rPr>
          <w:rFonts w:ascii="Arial" w:hAnsi="Arial"/>
          <w:b/>
        </w:rPr>
        <w:t xml:space="preserve">5.5 Universal Digital Equity: Making Every Citizen a Co-Owner of the City’s AI</w:t>
      </w:r>
    </w:p>
    <w:p>
      <w:pPr>
        <w:pStyle w:val="BodyText"/>
      </w:pPr>
      <w:r>
        <w:rPr>
          <w:rFonts w:ascii="Arial" w:hAnsi="Arial"/>
        </w:rPr>
        <w:t xml:space="preserve">Universal Digital Equity is the most original economic design in this protocol. Its logic is not redistribution (taking money from the rich to give to the poor), but redesigning the ownership structure from the start——making the city’s AI infrastructure not owned by any private party, but collectively owned by all citizens, with returns distributed according to rules.</w:t>
      </w:r>
    </w:p>
    <w:p>
      <w:pPr>
        <w:pStyle w:val="BodyText"/>
      </w:pPr>
      <w:r>
        <w:rPr>
          <w:rFonts w:ascii="Arial" w:hAnsi="Arial"/>
          <w:b/>
        </w:rPr>
        <w:t xml:space="preserve">Equity Structure Design</w:t>
      </w:r>
    </w:p>
    <w:p>
      <w:pPr>
        <w:pStyle w:val="BodyText"/>
      </w:pPr>
      <w:r>
        <w:rPr>
          <w:rFonts w:ascii="Arial" w:hAnsi="Arial"/>
          <w:b/>
        </w:rPr>
        <w:t xml:space="preserve">Dimension</w:t>
      </w:r>
      <w:r>
        <w:rPr>
          <w:rFonts w:ascii="Arial" w:hAnsi="Arial"/>
        </w:rPr>
        <w:t xml:space="preserve"> </w:t>
      </w:r>
      <w:r>
        <w:rPr>
          <w:rFonts w:ascii="Arial" w:hAnsi="Arial"/>
        </w:rPr>
        <w:t xml:space="preserve">|</w:t>
      </w:r>
      <w:r>
        <w:rPr>
          <w:rFonts w:ascii="Arial" w:hAnsi="Arial"/>
        </w:rPr>
        <w:t xml:space="preserve"> </w:t>
      </w:r>
      <w:r>
        <w:rPr>
          <w:rFonts w:ascii="Arial" w:hAnsi="Arial"/>
          <w:b/>
        </w:rPr>
        <w:t xml:space="preserve">Design</w:t>
      </w:r>
      <w:r>
        <w:rPr>
          <w:rFonts w:ascii="Arial" w:hAnsi="Arial"/>
        </w:rPr>
        <w:t xml:space="preserve"> </w:t>
      </w:r>
      <w:r>
        <w:rPr>
          <w:rFonts w:ascii="Arial" w:hAnsi="Arial"/>
        </w:rPr>
        <w:t xml:space="preserve">|</w:t>
      </w:r>
      <w:r>
        <w:rPr>
          <w:rFonts w:ascii="Arial" w:hAnsi="Arial"/>
        </w:rPr>
        <w:t xml:space="preserve"> </w:t>
      </w:r>
      <w:r>
        <w:rPr>
          <w:rFonts w:ascii="Arial" w:hAnsi="Arial"/>
          <w:b/>
        </w:rPr>
        <w:t xml:space="preserve">Rationale</w:t>
      </w:r>
      <w:r>
        <w:rPr>
          <w:rFonts w:ascii="Arial" w:hAnsi="Arial"/>
        </w:rPr>
        <w:t xml:space="preserve"> </w:t>
      </w:r>
      <w:r>
        <w:rPr>
          <w:rFonts w:ascii="Arial" w:hAnsi="Arial"/>
        </w:rPr>
        <w:t xml:space="preserve">Initial Allocation | Each new citizen receives equal initial equity units | Reflects basic principle of citizen equality</w:t>
      </w:r>
      <w:r>
        <w:rPr>
          <w:rFonts w:ascii="Arial" w:hAnsi="Arial"/>
        </w:rPr>
        <w:t xml:space="preserve"> </w:t>
      </w:r>
      <w:r>
        <w:rPr>
          <w:rFonts w:ascii="Arial" w:hAnsi="Arial"/>
        </w:rPr>
        <w:t xml:space="preserve">Equity Growth | Residence years increase equity by 2% per year (cap: 50% of initial value) | Rewards long-term commitment to the city</w:t>
      </w:r>
      <w:r>
        <w:rPr>
          <w:rFonts w:ascii="Arial" w:hAnsi="Arial"/>
        </w:rPr>
        <w:t xml:space="preserve"> </w:t>
      </w:r>
      <w:r>
        <w:rPr>
          <w:rFonts w:ascii="Arial" w:hAnsi="Arial"/>
        </w:rPr>
        <w:t xml:space="preserve">Contribution Rewards | Recognized social contributions can be exchanged for additional equity (cap: 50% of initial value) | Incentivizes public value creation</w:t>
      </w:r>
      <w:r>
        <w:rPr>
          <w:rFonts w:ascii="Arial" w:hAnsi="Arial"/>
        </w:rPr>
        <w:t xml:space="preserve"> </w:t>
      </w:r>
      <w:r>
        <w:rPr>
          <w:rFonts w:ascii="Arial" w:hAnsi="Arial"/>
        </w:rPr>
        <w:t xml:space="preserve">Non-Transferable | Equity cannot be bought, sold, or transferred between citizens | Prevents equity marketization that would allow the poor to cash out and concentrate wealth with the rich</w:t>
      </w:r>
      <w:r>
        <w:rPr>
          <w:rFonts w:ascii="Arial" w:hAnsi="Arial"/>
        </w:rPr>
        <w:t xml:space="preserve"> </w:t>
      </w:r>
      <w:r>
        <w:rPr>
          <w:rFonts w:ascii="Arial" w:hAnsi="Arial"/>
        </w:rPr>
        <w:t xml:space="preserve">Exit Handling | 10+ years residence: carry 70% equity to new city; under 1 year: full return to public pool | Protects long-term resident rights, prevents arbitrage migration</w:t>
      </w:r>
      <w:r>
        <w:rPr>
          <w:rFonts w:ascii="Arial" w:hAnsi="Arial"/>
        </w:rPr>
        <w:t xml:space="preserve"> </w:t>
      </w:r>
      <w:r>
        <w:rPr>
          <w:rFonts w:ascii="Arial" w:hAnsi="Arial"/>
        </w:rPr>
        <w:t xml:space="preserve">Annual Dividends | City AI net income distributed to all citizens proportionally by equity | Allows everyone to share automation dividends</w:t>
      </w:r>
    </w:p>
    <w:p>
      <w:pPr>
        <w:pStyle w:val="BodyText"/>
      </w:pPr>
      <w:r>
        <w:rPr>
          <w:rFonts w:ascii="Arial" w:hAnsi="Arial"/>
          <w:b/>
        </w:rPr>
        <w:t xml:space="preserve">Equity and Governance Weight</w:t>
      </w:r>
    </w:p>
    <w:p>
      <w:pPr>
        <w:pStyle w:val="BodyText"/>
      </w:pPr>
      <w:r>
        <w:rPr>
          <w:rFonts w:ascii="Arial" w:hAnsi="Arial"/>
        </w:rPr>
        <w:t xml:space="preserve">Digital equity and democratic voting rights are two independent systems, but have limited correlation in proposal rights:</w:t>
      </w:r>
    </w:p>
    <w:p>
      <w:pPr>
        <w:numPr>
          <w:ilvl w:val="0"/>
          <w:numId w:val="1005"/>
        </w:numPr>
      </w:pPr>
      <w:r>
        <w:rPr>
          <w:rFonts w:ascii="Arial" w:hAnsi="Arial"/>
        </w:rPr>
        <w:t xml:space="preserve">Basic voting rights: One person, one vote, unrelated to equity; any citizen holding a valid AI-Citizen ID enjoys equal voting rights</w:t>
      </w:r>
    </w:p>
    <w:p>
      <w:pPr>
        <w:numPr>
          <w:ilvl w:val="0"/>
          <w:numId w:val="1005"/>
        </w:numPr>
      </w:pPr>
      <w:r>
        <w:rPr>
          <w:rFonts w:ascii="Arial" w:hAnsi="Arial"/>
        </w:rPr>
        <w:t xml:space="preserve">Proposal rights: Initiating a Popular Vote proposal requires co-signatures from at least 1% of citizens, or holding a certain equity threshold (0.1% of initial total). This prevents proposal flooding, but does not give large equity holders additional voting weight</w:t>
      </w:r>
    </w:p>
    <w:p>
      <w:pPr>
        <w:numPr>
          <w:ilvl w:val="0"/>
          <w:numId w:val="1005"/>
        </w:numPr>
      </w:pPr>
      <w:r>
        <w:rPr>
          <w:rFonts w:ascii="Arial" w:hAnsi="Arial"/>
        </w:rPr>
        <w:t xml:space="preserve">Advisory committee eligibility: Long-term high contributors (top 5% by equity) can be nominated as community advisors for specific technical committees, but hold no binding decision-making power</w:t>
      </w:r>
    </w:p>
    <w:p>
      <w:pPr>
        <w:pStyle w:val="FirstParagraph"/>
      </w:pPr>
      <w:r>
        <w:rPr>
          <w:rFonts w:ascii="Arial" w:hAnsi="Arial"/>
        </w:rPr>
        <w:t xml:space="preserve">The core of this design: equity affects income distribution and participation opportunities, but does not affect the democratic equality principle of one person, one vote. Wealth cannot purchase more political power.</w:t>
      </w:r>
    </w:p>
    <w:p>
      <w:pPr>
        <w:pStyle w:val="BodyText"/>
      </w:pPr>
      <w:r>
        <w:rPr>
          <w:rFonts w:ascii="Arial" w:hAnsi="Arial"/>
          <w:b/>
        </w:rPr>
        <w:t xml:space="preserve">5.6 On-Chain Fiscal Transparency: Making Corruption Technologically Impossible</w:t>
      </w:r>
    </w:p>
    <w:p>
      <w:pPr>
        <w:pStyle w:val="BodyText"/>
      </w:pPr>
      <w:r>
        <w:rPr>
          <w:rFonts w:ascii="Arial" w:hAnsi="Arial"/>
        </w:rPr>
        <w:t xml:space="preserve">The execution mechanism of the economic protocol is the on-chain fiscal transparency system. It is not traditional fiscal disclosure (government-issued reports that the public can only passively receive), but raw data-level transparency——any citizen can directly retrieve complete records of any fiscal transaction from the chain, independently verifying with any tools.</w:t>
      </w:r>
    </w:p>
    <w:p>
      <w:pPr>
        <w:pStyle w:val="BodyText"/>
      </w:pPr>
      <w:r>
        <w:rPr>
          <w:rFonts w:ascii="Arial" w:hAnsi="Arial"/>
          <w:b/>
        </w:rPr>
        <w:t xml:space="preserve">On-Chain Treasury Operating Architecture</w:t>
      </w:r>
    </w:p>
    <w:p>
      <w:pPr>
        <w:pStyle w:val="BodyText"/>
      </w:pPr>
      <w:r>
        <w:rPr>
          <w:rFonts w:ascii="Arial" w:hAnsi="Arial"/>
          <w:b/>
        </w:rPr>
        <w:t xml:space="preserve">Expenditure Level</w:t>
      </w:r>
      <w:r>
        <w:rPr>
          <w:rFonts w:ascii="Arial" w:hAnsi="Arial"/>
        </w:rPr>
        <w:t xml:space="preserve"> </w:t>
      </w:r>
      <w:r>
        <w:rPr>
          <w:rFonts w:ascii="Arial" w:hAnsi="Arial"/>
        </w:rPr>
        <w:t xml:space="preserve">|</w:t>
      </w:r>
      <w:r>
        <w:rPr>
          <w:rFonts w:ascii="Arial" w:hAnsi="Arial"/>
        </w:rPr>
        <w:t xml:space="preserve"> </w:t>
      </w:r>
      <w:r>
        <w:rPr>
          <w:rFonts w:ascii="Arial" w:hAnsi="Arial"/>
          <w:b/>
        </w:rPr>
        <w:t xml:space="preserve">Decision Mechanism</w:t>
      </w:r>
      <w:r>
        <w:rPr>
          <w:rFonts w:ascii="Arial" w:hAnsi="Arial"/>
        </w:rPr>
        <w:t xml:space="preserve"> </w:t>
      </w:r>
      <w:r>
        <w:rPr>
          <w:rFonts w:ascii="Arial" w:hAnsi="Arial"/>
        </w:rPr>
        <w:t xml:space="preserve">|</w:t>
      </w:r>
      <w:r>
        <w:rPr>
          <w:rFonts w:ascii="Arial" w:hAnsi="Arial"/>
        </w:rPr>
        <w:t xml:space="preserve"> </w:t>
      </w:r>
      <w:r>
        <w:rPr>
          <w:rFonts w:ascii="Arial" w:hAnsi="Arial"/>
          <w:b/>
        </w:rPr>
        <w:t xml:space="preserve">Execution Method</w:t>
      </w:r>
      <w:r>
        <w:rPr>
          <w:rFonts w:ascii="Arial" w:hAnsi="Arial"/>
        </w:rPr>
        <w:t xml:space="preserve"> </w:t>
      </w:r>
      <w:r>
        <w:rPr>
          <w:rFonts w:ascii="Arial" w:hAnsi="Arial"/>
        </w:rPr>
        <w:t xml:space="preserve">|</w:t>
      </w:r>
      <w:r>
        <w:rPr>
          <w:rFonts w:ascii="Arial" w:hAnsi="Arial"/>
        </w:rPr>
        <w:t xml:space="preserve"> </w:t>
      </w:r>
      <w:r>
        <w:rPr>
          <w:rFonts w:ascii="Arial" w:hAnsi="Arial"/>
          <w:b/>
        </w:rPr>
        <w:t xml:space="preserve">Transparency</w:t>
      </w:r>
      <w:r>
        <w:rPr>
          <w:rFonts w:ascii="Arial" w:hAnsi="Arial"/>
        </w:rPr>
        <w:t xml:space="preserve"> </w:t>
      </w:r>
      <w:r>
        <w:rPr>
          <w:rFonts w:ascii="Arial" w:hAnsi="Arial"/>
        </w:rPr>
        <w:t xml:space="preserve">Routine automatic expenditure (UBI distribution, AI maintenance costs) | Pre-approved annual budget authorization | AIGC auto-triggered, no human intervention | Real-time on-chain public disclosure, transaction-by-transaction verifiable</w:t>
      </w:r>
      <w:r>
        <w:rPr>
          <w:rFonts w:ascii="Arial" w:hAnsi="Arial"/>
        </w:rPr>
        <w:t xml:space="preserve"> </w:t>
      </w:r>
      <w:r>
        <w:rPr>
          <w:rFonts w:ascii="Arial" w:hAnsi="Arial"/>
        </w:rPr>
        <w:t xml:space="preserve">Rule-triggered expenditure (emergency response, facility maintenance) | AIGC detects trigger conditions and automatically applies | Elder Council 48-hour rapid review before execution | Both application and approval on-chain public</w:t>
      </w:r>
      <w:r>
        <w:rPr>
          <w:rFonts w:ascii="Arial" w:hAnsi="Arial"/>
        </w:rPr>
        <w:t xml:space="preserve"> </w:t>
      </w:r>
      <w:r>
        <w:rPr>
          <w:rFonts w:ascii="Arial" w:hAnsi="Arial"/>
        </w:rPr>
        <w:t xml:space="preserve">Major project expenditure (exceeding 0.5% of GDP) | Approved by full citizen on-chain vote | AIGC executes after vote confirmation | Fully public, voting records permanently archived</w:t>
      </w:r>
      <w:r>
        <w:rPr>
          <w:rFonts w:ascii="Arial" w:hAnsi="Arial"/>
        </w:rPr>
        <w:t xml:space="preserve"> </w:t>
      </w:r>
      <w:r>
        <w:rPr>
          <w:rFonts w:ascii="Arial" w:hAnsi="Arial"/>
        </w:rPr>
        <w:t xml:space="preserve">Emergency special expenditure | Two-thirds unanimous consent of Elder Council | Human authorization + AIGC execution | On-chain public within 24 hours, with explanatory documentation</w:t>
      </w:r>
    </w:p>
    <w:p>
      <w:pPr>
        <w:pStyle w:val="BodyText"/>
      </w:pPr>
      <w:r>
        <w:rPr>
          <w:rFonts w:ascii="Arial" w:hAnsi="Arial"/>
        </w:rPr>
        <w:t xml:space="preserve">Every fiscal expenditure, after execution, generates the following public records on-chain: expenditure amount, recipient (anonymized but decryptable through legitimate authorization), expenditure purpose classification, authorization basis (budget number or voting record hash), execution timestamp. Any citizen can access the fiscal dashboard to view the full picture of the city’s capital flow in real-time.</w:t>
      </w:r>
    </w:p>
    <w:p>
      <w:pPr>
        <w:pStyle w:val="BodyText"/>
      </w:pPr>
      <w:r>
        <w:rPr>
          <w:rFonts w:ascii="Arial" w:hAnsi="Arial"/>
          <w:b/>
        </w:rPr>
        <w:t xml:space="preserve">Fundamental difference from traditional fiscal disclosure:</w:t>
      </w:r>
      <w:r>
        <w:rPr>
          <w:rFonts w:ascii="Arial" w:hAnsi="Arial"/>
        </w:rPr>
        <w:t xml:space="preserve"> </w:t>
      </w:r>
      <w:r>
        <w:rPr>
          <w:rFonts w:ascii="Arial" w:hAnsi="Arial"/>
        </w:rPr>
        <w:t xml:space="preserve">Traditional fiscal disclosure is the government telling you how it spent money; on-chain fiscal transparency is anyone independently verifying how the government spent money. The former relies on the government’s integrity, the latter relies on the immutability of mathematics. This difference is an order of magnitude different in corruption prevention effectiveness.</w:t>
      </w:r>
    </w:p>
    <w:p>
      <w:pPr>
        <w:pStyle w:val="BodyText"/>
      </w:pPr>
      <w:r>
        <w:rPr>
          <w:rFonts w:ascii="Arial" w:hAnsi="Arial"/>
          <w:b/>
        </w:rPr>
        <w:t xml:space="preserve">5.7 Economic Flywheel: Why This System Self-Reinforces</w:t>
      </w:r>
    </w:p>
    <w:p>
      <w:pPr>
        <w:pStyle w:val="BodyText"/>
      </w:pPr>
      <w:r>
        <w:rPr>
          <w:rFonts w:ascii="Arial" w:hAnsi="Arial"/>
        </w:rPr>
        <w:t xml:space="preserve">When AI Labor Tax, UBI, Digital Equity, and On-Chain Fiscal Transparency operate simultaneously, they generate a self-reinforcing positive cycle between them——this is the most important systemic characteristic of the entire economic protocol.</w:t>
      </w:r>
    </w:p>
    <w:tbl>
      <w:tblPr>
        <w:tblStyle w:val="Table"/>
        <w:tblW w:type="pct" w:w="5000.0"/>
        <w:tblLook w:firstRow="1"/>
      </w:tblPr>
      <w:tblGrid>
        <w:gridCol w:w="2924"/>
        <w:gridCol w:w="1827"/>
        <w:gridCol w:w="3168"/>
      </w:tblGrid>
      <w:tr>
        <w:trPr>
          <w:cnfStyle w:firstRow="1"/>
        </w:trPr>
        <w:tc>
          <w:tcPr>
            <w:tcBorders>
              <w:bottom w:val="single"/>
            </w:tcBorders>
            <w:vAlign w:val="bottom"/>
          </w:tcPr>
          <w:p>
            <w:pPr>
              <w:pStyle w:val="Compact"/>
              <w:jc w:val="left"/>
            </w:pPr>
            <w:r>
              <w:rPr>
                <w:b/>
              </w:rPr>
              <w:t xml:space="preserve">Flywheel Component</w:t>
            </w:r>
          </w:p>
        </w:tc>
        <w:tc>
          <w:tcPr>
            <w:tcBorders>
              <w:bottom w:val="single"/>
            </w:tcBorders>
            <w:vAlign w:val="bottom"/>
          </w:tcPr>
          <w:p>
            <w:pPr>
              <w:pStyle w:val="Compact"/>
              <w:jc w:val="left"/>
            </w:pPr>
            <w:r>
              <w:rPr>
                <w:b/>
              </w:rPr>
              <w:t xml:space="preserve">Mechanism</w:t>
            </w:r>
          </w:p>
        </w:tc>
        <w:tc>
          <w:tcPr>
            <w:tcBorders>
              <w:bottom w:val="single"/>
            </w:tcBorders>
            <w:vAlign w:val="bottom"/>
          </w:tcPr>
          <w:p>
            <w:pPr>
              <w:pStyle w:val="Compact"/>
              <w:jc w:val="left"/>
            </w:pPr>
            <w:r>
              <w:rPr>
                <w:b/>
              </w:rPr>
              <w:t xml:space="preserve">Quantitative Target</w:t>
            </w:r>
          </w:p>
        </w:tc>
      </w:tr>
      <w:tr>
        <w:tc>
          <w:p>
            <w:pPr>
              <w:pStyle w:val="Compact"/>
              <w:jc w:val="left"/>
            </w:pPr>
            <w:r>
              <w:t xml:space="preserve">AI Enterprise Settlement</w:t>
            </w:r>
          </w:p>
        </w:tc>
        <w:tc>
          <w:p>
            <w:pPr>
              <w:pStyle w:val="Compact"/>
              <w:jc w:val="left"/>
            </w:pPr>
            <w:r>
              <w:t xml:space="preserve">Low-corruption business environment + Extremely low administrative costs + High-quality residents, attracting AI-native enterprises</w:t>
            </w:r>
          </w:p>
        </w:tc>
        <w:tc>
          <w:p>
            <w:pPr>
              <w:pStyle w:val="Compact"/>
              <w:jc w:val="left"/>
            </w:pPr>
            <w:r>
              <w:t xml:space="preserve">Annual new AI enterprises ≥10%</w:t>
            </w:r>
          </w:p>
        </w:tc>
      </w:tr>
      <w:tr>
        <w:tc>
          <w:p>
            <w:pPr>
              <w:pStyle w:val="Compact"/>
              <w:jc w:val="left"/>
            </w:pPr>
            <w:r>
              <w:t xml:space="preserve">Tax Revenue Increase</w:t>
            </w:r>
          </w:p>
        </w:tc>
        <w:tc>
          <w:p>
            <w:pPr>
              <w:pStyle w:val="Compact"/>
              <w:jc w:val="left"/>
            </w:pPr>
            <w:r>
              <w:t xml:space="preserve">Enterprise scale expansion, AI Labor Tax base expansion</w:t>
            </w:r>
          </w:p>
        </w:tc>
        <w:tc>
          <w:p>
            <w:pPr>
              <w:pStyle w:val="Compact"/>
              <w:jc w:val="left"/>
            </w:pPr>
            <w:r>
              <w:t xml:space="preserve">AI Labor Tax revenue annual growth ≥15%</w:t>
            </w:r>
          </w:p>
        </w:tc>
      </w:tr>
      <w:tr>
        <w:tc>
          <w:p>
            <w:pPr>
              <w:pStyle w:val="Compact"/>
              <w:jc w:val="left"/>
            </w:pPr>
            <w:r>
              <w:t xml:space="preserve">UBI Increase</w:t>
            </w:r>
          </w:p>
        </w:tc>
        <w:tc>
          <w:p>
            <w:pPr>
              <w:pStyle w:val="Compact"/>
              <w:jc w:val="left"/>
            </w:pPr>
            <w:r>
              <w:t xml:space="preserve">Increased taxes support higher UBI base amount</w:t>
            </w:r>
          </w:p>
        </w:tc>
        <w:tc>
          <w:p>
            <w:pPr>
              <w:pStyle w:val="Compact"/>
              <w:jc w:val="left"/>
            </w:pPr>
            <w:r>
              <w:t xml:space="preserve">Base amount automatically adjusts with urban cost of living index</w:t>
            </w:r>
          </w:p>
        </w:tc>
      </w:tr>
      <w:tr>
        <w:tc>
          <w:p>
            <w:pPr>
              <w:pStyle w:val="Compact"/>
              <w:jc w:val="left"/>
            </w:pPr>
            <w:r>
              <w:t xml:space="preserve">Resident Quality Improvement</w:t>
            </w:r>
          </w:p>
        </w:tc>
        <w:tc>
          <w:p>
            <w:pPr>
              <w:pStyle w:val="Compact"/>
              <w:jc w:val="left"/>
            </w:pPr>
            <w:r>
              <w:t xml:space="preserve">Higher UBI attracts creative talents; UBI security encourages entrepreneurship</w:t>
            </w:r>
          </w:p>
        </w:tc>
        <w:tc>
          <w:p>
            <w:pPr>
              <w:pStyle w:val="Compact"/>
              <w:jc w:val="left"/>
            </w:pPr>
            <w:r>
              <w:t xml:space="preserve">Technical talent proportion in resident population increases annually by 1%</w:t>
            </w:r>
          </w:p>
        </w:tc>
      </w:tr>
      <w:tr>
        <w:tc>
          <w:p>
            <w:pPr>
              <w:pStyle w:val="Compact"/>
              <w:jc w:val="left"/>
            </w:pPr>
            <w:r>
              <w:t xml:space="preserve">Innovation Growth</w:t>
            </w:r>
          </w:p>
        </w:tc>
        <w:tc>
          <w:p>
            <w:pPr>
              <w:pStyle w:val="Compact"/>
              <w:jc w:val="left"/>
            </w:pPr>
            <w:r>
              <w:t xml:space="preserve">More technical talents bring more innovation, enhancing city AI system capabilities</w:t>
            </w:r>
          </w:p>
        </w:tc>
        <w:tc>
          <w:p>
            <w:pPr>
              <w:pStyle w:val="Compact"/>
              <w:jc w:val="left"/>
            </w:pPr>
            <w:r>
              <w:t xml:space="preserve">Patent applications increase ≥20% annually</w:t>
            </w:r>
          </w:p>
        </w:tc>
      </w:tr>
      <w:tr>
        <w:tc>
          <w:p>
            <w:pPr>
              <w:pStyle w:val="Compact"/>
              <w:jc w:val="left"/>
            </w:pPr>
            <w:r>
              <w:t xml:space="preserve">Equity Dividend Increase</w:t>
            </w:r>
          </w:p>
        </w:tc>
        <w:tc>
          <w:p>
            <w:pPr>
              <w:pStyle w:val="Compact"/>
              <w:jc w:val="left"/>
            </w:pPr>
            <w:r>
              <w:t xml:space="preserve">Improved city AI system efficiency, increased net revenue, higher equity dividends</w:t>
            </w:r>
          </w:p>
        </w:tc>
        <w:tc>
          <w:p>
            <w:pPr>
              <w:pStyle w:val="Compact"/>
              <w:jc w:val="left"/>
            </w:pPr>
            <w:r>
              <w:t xml:space="preserve">Dividends increase ≥10% annually</w:t>
            </w:r>
          </w:p>
        </w:tc>
      </w:tr>
      <w:tr>
        <w:tc>
          <w:p>
            <w:pPr>
              <w:pStyle w:val="Compact"/>
              <w:jc w:val="left"/>
            </w:pPr>
            <w:r>
              <w:t xml:space="preserve">Enhanced Sense of Belonging</w:t>
            </w:r>
          </w:p>
        </w:tc>
        <w:tc>
          <w:p>
            <w:pPr>
              <w:pStyle w:val="Compact"/>
              <w:jc w:val="left"/>
            </w:pPr>
            <w:r>
              <w:t xml:space="preserve">Higher dividends strengthen citizens’ identification with the city and sense of ownership</w:t>
            </w:r>
          </w:p>
        </w:tc>
        <w:tc>
          <w:p>
            <w:pPr>
              <w:pStyle w:val="Compact"/>
              <w:jc w:val="left"/>
            </w:pPr>
            <w:r>
              <w:t xml:space="preserve">Resident satisfaction ≥80%</w:t>
            </w:r>
          </w:p>
        </w:tc>
      </w:tr>
      <w:tr>
        <w:tc>
          <w:p>
            <w:pPr>
              <w:pStyle w:val="Compact"/>
              <w:jc w:val="left"/>
            </w:pPr>
            <w:r>
              <w:t xml:space="preserve">Improved Governance Quality</w:t>
            </w:r>
          </w:p>
        </w:tc>
        <w:tc>
          <w:p>
            <w:pPr>
              <w:pStyle w:val="Compact"/>
              <w:jc w:val="left"/>
            </w:pPr>
            <w:r>
              <w:t xml:space="preserve">Stronger sense of belonging improves quality of citizen participation in governance, forming a virtuous cycle</w:t>
            </w:r>
          </w:p>
        </w:tc>
        <w:tc>
          <w:p>
            <w:pPr>
              <w:pStyle w:val="Compact"/>
              <w:jc w:val="left"/>
            </w:pPr>
            <w:r>
              <w:t xml:space="preserve">Voting participation rate ≥60%</w:t>
            </w:r>
          </w:p>
        </w:tc>
      </w:tr>
    </w:tbl>
    <w:p>
      <w:pPr>
        <w:pStyle w:val="BodyText"/>
      </w:pPr>
      <w:r>
        <w:rPr>
          <w:rFonts w:ascii="Arial" w:hAnsi="Arial"/>
        </w:rPr>
        <w:t xml:space="preserve">The flywheel’s activation requires the most challenging initial phase: before AI Labor Tax revenue matures, external startup capital is needed to support UBI for the first 18 months. This window represents the most vulnerable moment for the entire economic system, and must be navigated through sufficient upfront fundraising and careful cash flow management.</w:t>
      </w:r>
    </w:p>
    <w:p>
      <w:pPr>
        <w:pStyle w:val="BodyText"/>
      </w:pPr>
      <w:r>
        <w:rPr>
          <w:rFonts w:ascii="Arial" w:hAnsi="Arial"/>
          <w:b/>
        </w:rPr>
        <w:t xml:space="preserve">5.8 Four Risk Protection Designs</w:t>
      </w:r>
    </w:p>
    <w:p>
      <w:pPr>
        <w:pStyle w:val="BodyText"/>
      </w:pPr>
      <w:r>
        <w:rPr>
          <w:rFonts w:ascii="Arial" w:hAnsi="Arial"/>
          <w:b/>
        </w:rPr>
        <w:t xml:space="preserve">Risk One: Wealth Concentration Exceeding the Threshold</w:t>
      </w:r>
    </w:p>
    <w:p>
      <w:pPr>
        <w:pStyle w:val="BodyText"/>
      </w:pPr>
      <w:r>
        <w:rPr>
          <w:rFonts w:ascii="Arial" w:hAnsi="Arial"/>
        </w:rPr>
        <w:t xml:space="preserve">Even with AI Labor Tax and UBI, if there are loopholes in the taxation mechanism or the tax rate is too low, wealth concentration may rise to a level that threatens systemic stability.</w:t>
      </w:r>
    </w:p>
    <w:p>
      <w:pPr>
        <w:pStyle w:val="BodyText"/>
      </w:pPr>
      <w:r>
        <w:rPr>
          <w:rFonts w:ascii="Arial" w:hAnsi="Arial"/>
        </w:rPr>
        <w:t xml:space="preserve">Protection Mechanism: The AIGC Economic Regulation Module calculates the city’s Gini Coefficient in real-time. When the Gini Coefficient exceeds 0.35 (the warning threshold established in the Constitution), the system automatically triggers two responses: the maximum marginal tax rate for AI Labor Tax increases by 5 percentage points; the UBI base amount increases by 10%. This response requires no political decision-making; it is an automatic stabilizer hardcoded into the Constitution and code.</w:t>
      </w:r>
    </w:p>
    <w:p>
      <w:pPr>
        <w:pStyle w:val="BodyText"/>
      </w:pPr>
      <w:r>
        <w:rPr>
          <w:rFonts w:ascii="Arial" w:hAnsi="Arial"/>
          <w:b/>
        </w:rPr>
        <w:t xml:space="preserve">Risk Two: UBI Fund Pool Exhaustion</w:t>
      </w:r>
    </w:p>
    <w:p>
      <w:pPr>
        <w:pStyle w:val="BodyText"/>
      </w:pPr>
      <w:r>
        <w:rPr>
          <w:rFonts w:ascii="Arial" w:hAnsi="Arial"/>
        </w:rPr>
        <w:t xml:space="preserve">Extreme economic recession or collapse of the AI Labor Tax base could lead to insufficient UBI funding.</w:t>
      </w:r>
    </w:p>
    <w:p>
      <w:pPr>
        <w:pStyle w:val="BodyText"/>
      </w:pPr>
      <w:r>
        <w:rPr>
          <w:rFonts w:ascii="Arial" w:hAnsi="Arial"/>
        </w:rPr>
        <w:t xml:space="preserve">Protection Mechanism: Three layers of funding sources plus 12-month mandatory reserves provide multiple buffers. When the fund pool drops below 9 months of reserves, AIGC automatically triggers a temporary fund replenishment procedure (mobilizing non-core city assets, temporarily increasing AI Labor Tax rates), while sending fiscal alerts to the Elder Council and all citizens. When it drops to 6 months of reserves, a Popular Vote is compulsorily triggered to discuss emergency measures.</w:t>
      </w:r>
    </w:p>
    <w:p>
      <w:pPr>
        <w:pStyle w:val="BodyText"/>
      </w:pPr>
      <w:r>
        <w:rPr>
          <w:rFonts w:ascii="Arial" w:hAnsi="Arial"/>
          <w:b/>
        </w:rPr>
        <w:t xml:space="preserve">Risk Three: Malicious Control by External Capital</w:t>
      </w:r>
    </w:p>
    <w:p>
      <w:pPr>
        <w:pStyle w:val="BodyText"/>
      </w:pPr>
      <w:r>
        <w:rPr>
          <w:rFonts w:ascii="Arial" w:hAnsi="Arial"/>
        </w:rPr>
        <w:t xml:space="preserve">When AI governance cities begin to succeed, large external capital may acquire substantial control by purchasing the city’s critical infrastructure on a large scale.</w:t>
      </w:r>
    </w:p>
    <w:p>
      <w:pPr>
        <w:pStyle w:val="BodyText"/>
      </w:pPr>
      <w:r>
        <w:rPr>
          <w:rFonts w:ascii="Arial" w:hAnsi="Arial"/>
        </w:rPr>
        <w:t xml:space="preserve">Protection Mechanism: The Constitution establishes a Strategic Asset Protection List (energy infrastructure, digital infrastructure, core data centers, major residential land). Assets on the list prohibit foreign capital ownership exceeding 10%; equity transactions exceeding the threshold require Elder Council approval and public disclosure; AIGC continuously monitors the proportion of foreign capital penetration in the city’s economy and automatically reports when warning thresholds are exceeded.</w:t>
      </w:r>
    </w:p>
    <w:p>
      <w:pPr>
        <w:pStyle w:val="BodyText"/>
      </w:pPr>
      <w:r>
        <w:rPr>
          <w:rFonts w:ascii="Arial" w:hAnsi="Arial"/>
          <w:b/>
        </w:rPr>
        <w:t xml:space="preserve">Risk Four: Digital Currency Stability</w:t>
      </w:r>
    </w:p>
    <w:p>
      <w:pPr>
        <w:pStyle w:val="BodyText"/>
      </w:pPr>
      <w:r>
        <w:rPr>
          <w:rFonts w:ascii="Arial" w:hAnsi="Arial"/>
        </w:rPr>
        <w:t xml:space="preserve">Fluctuations in the exchange rate between the city’s digital currency and external legal tender directly affect the real purchasing power of UBI and enterprise operating costs.</w:t>
      </w:r>
    </w:p>
    <w:p>
      <w:pPr>
        <w:pStyle w:val="BodyText"/>
      </w:pPr>
      <w:r>
        <w:rPr>
          <w:rFonts w:ascii="Arial" w:hAnsi="Arial"/>
        </w:rPr>
        <w:t xml:space="preserve">Protection Mechanism: Diversified reserve assets (holding gold, multiple sovereign currencies, commodity indices) ensure that no single asset’s volatility can significantly affect monetary stability. The AIGC Economic Regulation Module monitors exchange rates in real-time and automatically initiates stabilization operations when exchange rates deviate from the mean by more than 5%. The inflation target is set at 2%–4%, triggering automatic adjustment when it exceeds the target range.</w:t>
      </w:r>
    </w:p>
    <w:p>
      <w:pPr>
        <w:pStyle w:val="BodyText"/>
      </w:pPr>
      <w:r>
        <w:rPr>
          <w:rFonts w:ascii="Arial" w:hAnsi="Arial"/>
          <w:b/>
        </w:rPr>
        <w:t xml:space="preserve">5.9 Historical Positioning of the Economic Protocol</w:t>
      </w:r>
    </w:p>
    <w:p>
      <w:pPr>
        <w:pStyle w:val="BodyText"/>
      </w:pPr>
      <w:r>
        <w:rPr>
          <w:rFonts w:ascii="Arial" w:hAnsi="Arial"/>
        </w:rPr>
        <w:t xml:space="preserve">Before concluding this chapter, it is worthwhile to understand this economic protocol within a longer historical timeline.</w:t>
      </w:r>
    </w:p>
    <w:p>
      <w:pPr>
        <w:pStyle w:val="BodyText"/>
      </w:pPr>
      <w:r>
        <w:rPr>
          <w:rFonts w:ascii="Arial" w:hAnsi="Arial"/>
        </w:rPr>
        <w:t xml:space="preserve">There have been three major revolutions in modes of production in human history, each fundamentally changing how wealth is created and distributed: the Agricultural Revolution (from hunting and gathering to settled agriculture), the Industrial Revolution (from craftsmanship to machine production), and the Information Revolution (from industrial economy to knowledge economy). Each revolution generated tremendous wealth but also experiencedViolent social unrest and rising social inequality until new institutional frameworks were established, which restored social stability.</w:t>
      </w:r>
    </w:p>
    <w:p>
      <w:pPr>
        <w:pStyle w:val="BodyText"/>
      </w:pPr>
      <w:r>
        <w:rPr>
          <w:rFonts w:ascii="Arial" w:hAnsi="Arial"/>
        </w:rPr>
        <w:t xml:space="preserve">The Industrial Revolution ultimately brought institutional innovations such as labor laws, minimum wages, and social insurance. These innovations did not appear out of thin air; they were institutional responses to the new forms of poverty and inequality caused by industrialization. The AI Revolution is creating a new type of economic inequality—not workers being exploited by factories, but automated systems causing the economic value ofA lot of work to fail to flow back to those providing labor.</w:t>
      </w:r>
    </w:p>
    <w:p>
      <w:pPr>
        <w:pStyle w:val="BodyText"/>
      </w:pPr>
      <w:r>
        <w:rPr>
          <w:rFonts w:ascii="Arial" w:hAnsi="Arial"/>
        </w:rPr>
        <w:t xml:space="preserve">The economic protocol proposed in this chapter—AI Labor Tax, UBI, Universal Digital Equity, On-Chain Fiscal Transparency—is an institutional response to this new form of inequality. It is not the ultimate answer, just as labor laws of the industrial era were not perfect. But it is a serious effort to answer a core question in the AI era: As machines take on an increasing share of work, how can human dignity and basic prosperity be guaranteed?</w:t>
      </w:r>
    </w:p>
    <w:p>
      <w:pPr>
        <w:pStyle w:val="BlockText"/>
      </w:pPr>
      <w:r>
        <w:rPr>
          <w:i/>
          <w:rFonts w:ascii="Arial" w:hAnsi="Arial"/>
          <w:b/>
        </w:rPr>
        <w:t xml:space="preserve">The Industrial Revolution needed labor laws to protect worker dignity. The AI Revolution needs digital equity to protect citizen dignity. We are writing the labor laws of this era.</w:t>
      </w:r>
    </w:p>
    <w:p>
      <w:pPr>
        <w:pStyle w:val="FirstParagraph"/>
      </w:pPr>
      <w:r>
        <w:rPr>
          <w:rFonts w:ascii="Arial" w:hAnsi="Arial"/>
          <w:b/>
        </w:rPr>
        <w:t xml:space="preserve">Chapter Summary</w:t>
      </w:r>
    </w:p>
    <w:p>
      <w:pPr>
        <w:pStyle w:val="BodyText"/>
      </w:pPr>
      <w:r>
        <w:rPr>
          <w:rFonts w:ascii="Arial" w:hAnsi="Arial"/>
        </w:rPr>
        <w:t xml:space="preserve">This chapter completes the comprehensive design of the economic protocol for the AI Civilization Governance System. The core achievements are as follows:</w:t>
      </w:r>
    </w:p>
    <w:p>
      <w:pPr>
        <w:numPr>
          <w:ilvl w:val="0"/>
          <w:numId w:val="1006"/>
        </w:numPr>
      </w:pPr>
      <w:r>
        <w:rPr>
          <w:rFonts w:ascii="Arial" w:hAnsi="Arial"/>
          <w:b/>
        </w:rPr>
        <w:t xml:space="preserve">Engineering Framework</w:t>
      </w:r>
      <w:r>
        <w:rPr>
          <w:rFonts w:ascii="Arial" w:hAnsi="Arial"/>
        </w:rPr>
        <w:t xml:space="preserve">: Repositions wealth redistribution as an engineering necessity for the sustainable operation of the AI Governance System, rather than an expression of political ideology.</w:t>
      </w:r>
    </w:p>
    <w:p>
      <w:pPr>
        <w:numPr>
          <w:ilvl w:val="0"/>
          <w:numId w:val="1006"/>
        </w:numPr>
      </w:pPr>
      <w:r>
        <w:rPr>
          <w:rFonts w:ascii="Arial" w:hAnsi="Arial"/>
          <w:b/>
        </w:rPr>
        <w:t xml:space="preserve">AI Labor Tax</w:t>
      </w:r>
      <w:r>
        <w:rPr>
          <w:rFonts w:ascii="Arial" w:hAnsi="Arial"/>
        </w:rPr>
        <w:t xml:space="preserve">: A three-variable formula (Work Units × Job Displacement Coefficient × Base Tax Rate), combined with differential exemption rules, establishes a sustainable source of public revenue.</w:t>
      </w:r>
    </w:p>
    <w:p>
      <w:pPr>
        <w:numPr>
          <w:ilvl w:val="0"/>
          <w:numId w:val="1006"/>
        </w:numPr>
      </w:pPr>
      <w:r>
        <w:rPr>
          <w:rFonts w:ascii="Arial" w:hAnsi="Arial"/>
          <w:b/>
        </w:rPr>
        <w:t xml:space="preserve">UBI Design</w:t>
      </w:r>
      <w:r>
        <w:rPr>
          <w:rFonts w:ascii="Arial" w:hAnsi="Arial"/>
        </w:rPr>
        <w:t xml:space="preserve">: A three-layer formula of base amount + years of participation coefficient + contribution adjustment, a three-layer funding source + 12-month reserve fund for sustainable guarantees, and clarification of the impact of real experimental data on work motivation.</w:t>
      </w:r>
    </w:p>
    <w:p>
      <w:pPr>
        <w:numPr>
          <w:ilvl w:val="0"/>
          <w:numId w:val="1006"/>
        </w:numPr>
      </w:pPr>
      <w:r>
        <w:rPr>
          <w:rFonts w:ascii="Arial" w:hAnsi="Arial"/>
          <w:b/>
        </w:rPr>
        <w:t xml:space="preserve">Universal Digital Equity</w:t>
      </w:r>
      <w:r>
        <w:rPr>
          <w:rFonts w:ascii="Arial" w:hAnsi="Arial"/>
        </w:rPr>
        <w:t xml:space="preserve">: Redefines the relationship between citizens and the city’s AI infrastructure from the ownership structure level; equity cannot be bought or sold; annual dividends are distributed according to rules.</w:t>
      </w:r>
    </w:p>
    <w:p>
      <w:pPr>
        <w:numPr>
          <w:ilvl w:val="0"/>
          <w:numId w:val="1006"/>
        </w:numPr>
      </w:pPr>
      <w:r>
        <w:rPr>
          <w:rFonts w:ascii="Arial" w:hAnsi="Arial"/>
          <w:b/>
        </w:rPr>
        <w:t xml:space="preserve">On-Chain Fiscal Transparency</w:t>
      </w:r>
      <w:r>
        <w:rPr>
          <w:rFonts w:ascii="Arial" w:hAnsi="Arial"/>
        </w:rPr>
        <w:t xml:space="preserve">: Upgrades fiscal disclosure from government commitment to mathematical guarantee; four-layer expenditure architecture; fully independently verifiable.</w:t>
      </w:r>
    </w:p>
    <w:p>
      <w:pPr>
        <w:numPr>
          <w:ilvl w:val="0"/>
          <w:numId w:val="1006"/>
        </w:numPr>
      </w:pPr>
      <w:r>
        <w:rPr>
          <w:rFonts w:ascii="Arial" w:hAnsi="Arial"/>
          <w:b/>
        </w:rPr>
        <w:t xml:space="preserve">Economic Flywheel</w:t>
      </w:r>
      <w:r>
        <w:rPr>
          <w:rFonts w:ascii="Arial" w:hAnsi="Arial"/>
        </w:rPr>
        <w:t xml:space="preserve">: Eight components of a self-reinforcing positive cycle, plus analysis of critical conditions required for flywheel activation.</w:t>
      </w:r>
    </w:p>
    <w:p>
      <w:pPr>
        <w:numPr>
          <w:ilvl w:val="0"/>
          <w:numId w:val="1006"/>
        </w:numPr>
      </w:pPr>
      <w:r>
        <w:rPr>
          <w:rFonts w:ascii="Arial" w:hAnsi="Arial"/>
          <w:b/>
        </w:rPr>
        <w:t xml:space="preserve">Four Risk Protections</w:t>
      </w:r>
      <w:r>
        <w:rPr>
          <w:rFonts w:ascii="Arial" w:hAnsi="Arial"/>
        </w:rPr>
        <w:t xml:space="preserve">: Wealth concentration alerts, UBI fund pool protection, foreign capital access control, digital currency stability mechanisms.</w:t>
      </w:r>
    </w:p>
    <w:p>
      <w:pPr>
        <w:pStyle w:val="FirstParagraph"/>
      </w:pPr>
      <w:r>
        <w:rPr>
          <w:rFonts w:ascii="Arial" w:hAnsi="Arial"/>
        </w:rPr>
        <w:t xml:space="preserve">Chapter 6 will shift to the individual level, addressing the most fundamental infrastructure for the entire system’s operation: the digital identity of every citizen—the AI-Citizen ID Protocol. Without a reliable identity system, no other module can function.</w:t>
      </w:r>
    </w:p>
    <w:p>
      <w:pPr>
        <w:pStyle w:val="BodyText"/>
      </w:pPr>
      <w:r>
        <w:rPr>
          <w:rFonts w:ascii="Arial" w:hAnsi="Arial"/>
          <w:i/>
        </w:rPr>
        <w:t xml:space="preserve">Word count: approximately 8,100 words</w:t>
      </w:r>
    </w:p>
    <w:p>
      <w:pPr>
        <w:pStyle w:val="BodyText"/>
      </w:pPr>
      <w:r>
        <w:rPr>
          <w:rFonts w:ascii="Arial" w:hAnsi="Arial"/>
          <w:i/>
        </w:rPr>
        <w:t xml:space="preserve">AI Civilization Governance Whitepaper v1.0 · Chapter 5</w:t>
      </w:r>
    </w:p>
    <w:sectPr>
      <w:headerReference w:type="default" r:id="rId9"/>
      <w:footerReference w:type="default" r:id="rId10"/>
      <w:pgMar w:top="1440" w:bottom="1440" w:left="1728" w:right="17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rial" w:hAnsi="Arial"/>
        <w:color w:val="808080"/>
        <w:sz w:val="18"/>
      </w:rPr>
      <w:t xml:space="preserve">Page </w:t>
    </w:r>
    <w:r>
      <w:fldChar w:fldCharType="begin"/>
    </w:r>
    <w:r>
      <w:instrText xml:space="preserve"> PAGE </w:instrText>
    </w:r>
    <w:r>
      <w:fldChar w:fldCharType="end"/>
    </w:r>
    <w:r>
      <w:rPr>
        <w:rFonts w:ascii="Arial" w:hAnsi="Arial"/>
        <w:color w:val="808080"/>
        <w:sz w:val="18"/>
      </w:rPr>
      <w:t xml:space="preserve"> of </w:t>
    </w:r>
    <w:r>
      <w:fldChar w:fldCharType="begin"/>
    </w:r>
    <w:r>
      <w:instrText xml:space="preserve"> NUMPAGES </w:instrText>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Bdr>
        <w:bottom w:val="single" w:sz="4" w:space="1" w:color="CCCCCC"/>
      </w:pBdr>
    </w:pPr>
    <w:r/>
    <w:r>
      <w:rPr>
        <w:rFonts w:ascii="Arial" w:hAnsi="Arial"/>
        <w:color w:val="808080"/>
        <w:sz w:val="18"/>
      </w:rPr>
      <w:t>DAOTONG AI Governance Whitepaper · Chapter 5</w:t>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4">
    <w:nsid w:val="47261bad"/>
    <w:multiLevelType w:val="multilevel"/>
    <w:lvl w:ilvl="0">
      <w:start w:val="4"/>
      <w:numFmt w:val="decimal"/>
      <w:lvlText w:val="%1."/>
      <w:lvlJc w:val="left"/>
      <w:pPr>
        <w:tabs>
          <w:tab w:val="num" w:pos="0"/>
        </w:tabs>
        <w:ind w:left="480" w:hanging="480"/>
      </w:pPr>
    </w:lvl>
    <w:lvl w:ilvl="1">
      <w:start w:val="4"/>
      <w:numFmt w:val="decimal"/>
      <w:lvlText w:val="%2."/>
      <w:lvlJc w:val="left"/>
      <w:pPr>
        <w:tabs>
          <w:tab w:val="num" w:pos="720"/>
        </w:tabs>
        <w:ind w:left="1200" w:hanging="480"/>
      </w:pPr>
    </w:lvl>
    <w:lvl w:ilvl="2">
      <w:start w:val="4"/>
      <w:numFmt w:val="decimal"/>
      <w:lvlText w:val="%3."/>
      <w:lvlJc w:val="left"/>
      <w:pPr>
        <w:tabs>
          <w:tab w:val="num" w:pos="1440"/>
        </w:tabs>
        <w:ind w:left="1920" w:hanging="480"/>
      </w:pPr>
    </w:lvl>
    <w:lvl w:ilvl="3">
      <w:start w:val="4"/>
      <w:numFmt w:val="decimal"/>
      <w:lvlText w:val="%4."/>
      <w:lvlJc w:val="left"/>
      <w:pPr>
        <w:tabs>
          <w:tab w:val="num" w:pos="2160"/>
        </w:tabs>
        <w:ind w:left="2640" w:hanging="480"/>
      </w:pPr>
    </w:lvl>
    <w:lvl w:ilvl="4">
      <w:start w:val="4"/>
      <w:numFmt w:val="decimal"/>
      <w:lvlText w:val="%5."/>
      <w:lvlJc w:val="left"/>
      <w:pPr>
        <w:tabs>
          <w:tab w:val="num" w:pos="2880"/>
        </w:tabs>
        <w:ind w:left="3360" w:hanging="480"/>
      </w:pPr>
    </w:lvl>
    <w:lvl w:ilvl="5">
      <w:start w:val="4"/>
      <w:numFmt w:val="decimal"/>
      <w:lvlText w:val="%6."/>
      <w:lvlJc w:val="left"/>
      <w:pPr>
        <w:tabs>
          <w:tab w:val="num" w:pos="3600"/>
        </w:tabs>
        <w:ind w:left="4080" w:hanging="480"/>
      </w:pPr>
    </w:lvl>
    <w:lvl w:ilvl="6">
      <w:start w:val="4"/>
      <w:numFmt w:val="decimal"/>
      <w:lvlText w:val="%7."/>
      <w:lvlJc w:val="left"/>
      <w:pPr>
        <w:tabs>
          <w:tab w:val="num" w:pos="4320"/>
        </w:tabs>
        <w:ind w:left="4800" w:hanging="480"/>
      </w:pPr>
    </w:lvl>
    <w:lvl w:ilvl="7">
      <w:start w:val="4"/>
      <w:numFmt w:val="decimal"/>
      <w:lvlText w:val="%8."/>
      <w:lvlJc w:val="left"/>
      <w:pPr>
        <w:tabs>
          <w:tab w:val="num" w:pos="5040"/>
        </w:tabs>
        <w:ind w:left="5520" w:hanging="480"/>
      </w:pPr>
    </w:lvl>
    <w:lvl w:ilvl="8">
      <w:start w:val="4"/>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4">
    <w:abstractNumId w:val="991"/>
  </w:num>
  <w:num w:numId="1005">
    <w:abstractNumId w:val="991"/>
  </w:num>
  <w:num w:numId="1006">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rPr>
      <w:rFonts w:ascii="Arial" w:hAnsi="Arial" w:cs="Arial"/>
      <w:sz w:val="22"/>
    </w:rPr>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2026-06-28T11:36:10Z</dcterms:created>
  <dcterms:modified xsi:type="dcterms:W3CDTF">2026-06-28T11:36:10Z</dcterms:modified>
</cp:coreProperties>
</file>

<file path=docProps/custom.xml><?xml version="1.0" encoding="utf-8"?>
<Properties xmlns="http://schemas.openxmlformats.org/officeDocument/2006/custom-properties" xmlns:vt="http://schemas.openxmlformats.org/officeDocument/2006/docPropsVTypes"/>
</file>