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rFonts w:ascii="Arial" w:hAnsi="Arial"/>
        </w:rPr>
        <w:t xml:space="preserve">AI Civilization Governance System · Whitepaper v1.0</w:t>
      </w:r>
    </w:p>
    <w:p>
      <w:pPr>
        <w:pStyle w:val="BodyText"/>
      </w:pPr>
      <w:r>
        <w:rPr>
          <w:rFonts w:ascii="Arial" w:hAnsi="Arial"/>
          <w:b/>
        </w:rPr>
        <w:t xml:space="preserve">Chapter 4 Judiciary: AI Court Protocol</w:t>
      </w:r>
    </w:p>
    <w:p>
      <w:pPr>
        <w:pStyle w:val="BodyText"/>
      </w:pPr>
      <w:r>
        <w:rPr>
          <w:rFonts w:ascii="Arial" w:hAnsi="Arial"/>
          <w:i/>
        </w:rPr>
        <w:t xml:space="preserve">If fiscal transparency is the domain where AI governance advantages are most easily demonstrated, then judicial justice is the domain that most touches people’s hearts and most tests the true value of this system. Everyone has experienced or witnessed judicial injustice——cases delayed for years, corruption affecting judgments, and disadvantaged groups at systematic disadvantage in court. What the AI Court Protocol proposes is not replacing justice with machines, but making justice more visible, more consistent, and faster through verifiable processes. This chapter will present the complete design of this protocol, including its technical architecture, three real case simulations, and the boundaries it must observe.</w:t>
      </w:r>
    </w:p>
    <w:p>
      <w:pPr>
        <w:pStyle w:val="BodyText"/>
      </w:pPr>
      <w:r>
        <w:rPr>
          <w:rFonts w:ascii="Arial" w:hAnsi="Arial"/>
          <w:b/>
        </w:rPr>
        <w:t xml:space="preserve">4.1 Why the Judiciary is the Most Important Module in AI Governance</w:t>
      </w:r>
    </w:p>
    <w:p>
      <w:pPr>
        <w:pStyle w:val="BodyText"/>
      </w:pPr>
      <w:r>
        <w:rPr>
          <w:rFonts w:ascii="Arial" w:hAnsi="Arial"/>
        </w:rPr>
        <w:t xml:space="preserve">Among all modules of the Constitutional AI Governance system, the judicial system holds a special position. This particularity stems from three dimensions:</w:t>
      </w:r>
    </w:p>
    <w:p>
      <w:pPr>
        <w:pStyle w:val="BodyText"/>
      </w:pPr>
      <w:r>
        <w:rPr>
          <w:rFonts w:ascii="Arial" w:hAnsi="Arial"/>
          <w:b/>
        </w:rPr>
        <w:t xml:space="preserve">Symbolic Dimension:</w:t>
      </w:r>
      <w:r>
        <w:rPr>
          <w:rFonts w:ascii="Arial" w:hAnsi="Arial"/>
        </w:rPr>
        <w:t xml:space="preserve"> </w:t>
      </w:r>
      <w:r>
        <w:rPr>
          <w:rFonts w:ascii="Arial" w:hAnsi="Arial"/>
        </w:rPr>
        <w:t xml:space="preserve">Judicial justice is the justice that all people can directly feel. Fiscal transparency is abstract for most citizens; but when a person receives different treatment in court due to identity or relationships, this injustice is concrete and deeply felt. Whether the AI judicial system operates fairly will be the most direct litmus test for the credibility of the entire AI governance system.</w:t>
      </w:r>
    </w:p>
    <w:p>
      <w:pPr>
        <w:pStyle w:val="BodyText"/>
      </w:pPr>
      <w:r>
        <w:rPr>
          <w:rFonts w:ascii="Arial" w:hAnsi="Arial"/>
          <w:b/>
        </w:rPr>
        <w:t xml:space="preserve">Technical Dimension:</w:t>
      </w:r>
      <w:r>
        <w:rPr>
          <w:rFonts w:ascii="Arial" w:hAnsi="Arial"/>
        </w:rPr>
        <w:t xml:space="preserve"> </w:t>
      </w:r>
      <w:r>
        <w:rPr>
          <w:rFonts w:ascii="Arial" w:hAnsi="Arial"/>
        </w:rPr>
        <w:t xml:space="preserve">The digitization of judicial cases is rapidly increasing——contracts, transaction records, communication history, video evidence——these are all structured data that AI systems are naturally adept at processing. AI’s technical advantages in this field are substantive, not merely theoretical.</w:t>
      </w:r>
    </w:p>
    <w:p>
      <w:pPr>
        <w:pStyle w:val="BodyText"/>
      </w:pPr>
      <w:r>
        <w:rPr>
          <w:rFonts w:ascii="Arial" w:hAnsi="Arial"/>
          <w:b/>
        </w:rPr>
        <w:t xml:space="preserve">Reform Dimension:</w:t>
      </w:r>
      <w:r>
        <w:rPr>
          <w:rFonts w:ascii="Arial" w:hAnsi="Arial"/>
        </w:rPr>
        <w:t xml:space="preserve"> </w:t>
      </w:r>
      <w:r>
        <w:rPr>
          <w:rFonts w:ascii="Arial" w:hAnsi="Arial"/>
        </w:rPr>
        <w:t xml:space="preserve">The failures of traditional judicial systems are well-documented with data: severe case backlogs, high litigation costs, poor judgment consistency, and corruption affecting outcomes. The improvement space for AI judicial systems is the largest among all governance domains.</w:t>
      </w:r>
    </w:p>
    <w:p>
      <w:pPr>
        <w:pStyle w:val="BodyText"/>
      </w:pPr>
      <w:r>
        <w:rPr>
          <w:rFonts w:ascii="Arial" w:hAnsi="Arial"/>
        </w:rPr>
        <w:t xml:space="preserve">However, this special status also brings the strictest design constraints: judicial errors directly affect individuals’ liberty, property, and dignity, and any systematic bias causes real harm to real people. This is why the AI Court Protocol is more conservative and rigorous in technical design than any other module.</w:t>
      </w:r>
    </w:p>
    <w:p>
      <w:pPr>
        <w:pStyle w:val="BlockText"/>
      </w:pPr>
      <w:r>
        <w:rPr>
          <w:i/>
          <w:rFonts w:ascii="Arial" w:hAnsi="Arial"/>
          <w:b/>
        </w:rPr>
        <w:t xml:space="preserve">The goal of AI courts is not to replace justice with algorithms, but to make the process of justice verifiable, auditable, and unaffected by personal relationships.</w:t>
      </w:r>
    </w:p>
    <w:p>
      <w:pPr>
        <w:pStyle w:val="BlockText"/>
      </w:pPr>
      <w:r>
        <w:rPr>
          <w:rFonts w:ascii="Arial" w:hAnsi="Arial"/>
          <w:i/>
        </w:rPr>
        <w:t xml:space="preserve">See: Richard Susskind, Online Courts and the Future of Justice; Hazel Genn, Digital Justice: Technology and the Courts; ProPublica’s investigative report on the COMPAS sentencing system (2016), and subsequent literature reviews on bias in algorithmic judicial systems.</w:t>
      </w:r>
    </w:p>
    <w:p>
      <w:pPr>
        <w:pStyle w:val="FirstParagraph"/>
      </w:pPr>
      <w:r>
        <w:rPr>
          <w:rFonts w:ascii="Arial" w:hAnsi="Arial"/>
          <w:b/>
        </w:rPr>
        <w:t xml:space="preserve">4.2 Case Type Stratification: Precise Setting of AI Intervention Depth</w:t>
      </w:r>
    </w:p>
    <w:p>
      <w:pPr>
        <w:pStyle w:val="BodyText"/>
      </w:pPr>
      <w:r>
        <w:rPr>
          <w:rFonts w:ascii="Arial" w:hAnsi="Arial"/>
        </w:rPr>
        <w:t xml:space="preserve">The AI Court Protocol’s first and most important design decision is precise stratification of different case types——determining what AI can and cannot do in each category of cases. This boundary is not a vague policy statement but a hard constraint written into the technical architecture.</w:t>
      </w:r>
    </w:p>
    <w:tbl>
      <w:tblPr>
        <w:tblStyle w:val="Table"/>
        <w:tblW w:type="pct" w:w="5000.0"/>
        <w:tblLook w:firstRow="1"/>
      </w:tblPr>
      <w:tblGrid>
        <w:gridCol w:w="1164"/>
        <w:gridCol w:w="2018"/>
        <w:gridCol w:w="1164"/>
        <w:gridCol w:w="1397"/>
        <w:gridCol w:w="2174"/>
      </w:tblGrid>
      <w:tr>
        <w:trPr>
          <w:cnfStyle w:firstRow="1"/>
        </w:trPr>
        <w:tc>
          <w:tcPr>
            <w:tcBorders>
              <w:bottom w:val="single"/>
            </w:tcBorders>
            <w:vAlign w:val="bottom"/>
          </w:tcPr>
          <w:p>
            <w:pPr>
              <w:pStyle w:val="Compact"/>
              <w:jc w:val="left"/>
            </w:pPr>
            <w:r>
              <w:rPr>
                <w:b/>
              </w:rPr>
              <w:t xml:space="preserve">Case Type</w:t>
            </w:r>
          </w:p>
        </w:tc>
        <w:tc>
          <w:tcPr>
            <w:tcBorders>
              <w:bottom w:val="single"/>
            </w:tcBorders>
            <w:vAlign w:val="bottom"/>
          </w:tcPr>
          <w:p>
            <w:pPr>
              <w:pStyle w:val="Compact"/>
              <w:jc w:val="left"/>
            </w:pPr>
            <w:r>
              <w:rPr>
                <w:b/>
              </w:rPr>
              <w:t xml:space="preserve">Scope of Application</w:t>
            </w:r>
          </w:p>
        </w:tc>
        <w:tc>
          <w:tcPr>
            <w:tcBorders>
              <w:bottom w:val="single"/>
            </w:tcBorders>
            <w:vAlign w:val="bottom"/>
          </w:tcPr>
          <w:p>
            <w:pPr>
              <w:pStyle w:val="Compact"/>
              <w:jc w:val="left"/>
            </w:pPr>
            <w:r>
              <w:rPr>
                <w:b/>
              </w:rPr>
              <w:t xml:space="preserve">AI’s Role</w:t>
            </w:r>
          </w:p>
        </w:tc>
        <w:tc>
          <w:tcPr>
            <w:tcBorders>
              <w:bottom w:val="single"/>
            </w:tcBorders>
            <w:vAlign w:val="bottom"/>
          </w:tcPr>
          <w:p>
            <w:pPr>
              <w:pStyle w:val="Compact"/>
              <w:jc w:val="left"/>
            </w:pPr>
            <w:r>
              <w:rPr>
                <w:b/>
              </w:rPr>
              <w:t xml:space="preserve">Human’s Role</w:t>
            </w:r>
          </w:p>
        </w:tc>
        <w:tc>
          <w:tcPr>
            <w:tcBorders>
              <w:bottom w:val="single"/>
            </w:tcBorders>
            <w:vAlign w:val="bottom"/>
          </w:tcPr>
          <w:p>
            <w:pPr>
              <w:pStyle w:val="Compact"/>
              <w:jc w:val="left"/>
            </w:pPr>
            <w:r>
              <w:rPr>
                <w:b/>
              </w:rPr>
              <w:t xml:space="preserve">Maximum Processing Time</w:t>
            </w:r>
          </w:p>
        </w:tc>
      </w:tr>
      <w:tr>
        <w:tc>
          <w:p>
            <w:pPr>
              <w:pStyle w:val="Compact"/>
              <w:jc w:val="left"/>
            </w:pPr>
            <w:r>
              <w:t xml:space="preserve">Category 1: Small-Claim Auto Adjudication</w:t>
            </w:r>
          </w:p>
        </w:tc>
        <w:tc>
          <w:p>
            <w:pPr>
              <w:pStyle w:val="Compact"/>
              <w:jc w:val="left"/>
            </w:pPr>
            <w:r>
              <w:t xml:space="preserve">Contract breach amounts below city monthly average wage × 3; consumer complaints; simple debt recovery</w:t>
            </w:r>
          </w:p>
        </w:tc>
        <w:tc>
          <w:p>
            <w:pPr>
              <w:pStyle w:val="Compact"/>
              <w:jc w:val="left"/>
            </w:pPr>
            <w:r>
              <w:t xml:space="preserve">AI collects evidence and auto-adjudicates; full on-chain recording</w:t>
            </w:r>
          </w:p>
        </w:tc>
        <w:tc>
          <w:p>
            <w:pPr>
              <w:pStyle w:val="Compact"/>
              <w:jc w:val="left"/>
            </w:pPr>
            <w:r>
              <w:t xml:space="preserve">7-day objection window; objections trigger Category 2 process</w:t>
            </w:r>
          </w:p>
        </w:tc>
        <w:tc>
          <w:p>
            <w:pPr>
              <w:pStyle w:val="Compact"/>
              <w:jc w:val="left"/>
            </w:pPr>
            <w:r>
              <w:t xml:space="preserve">72 hours</w:t>
            </w:r>
          </w:p>
        </w:tc>
      </w:tr>
      <w:tr>
        <w:tc>
          <w:p>
            <w:pPr>
              <w:pStyle w:val="Compact"/>
              <w:jc w:val="left"/>
            </w:pPr>
            <w:r>
              <w:t xml:space="preserve">Category 2: Assisted + Jury Adjudication</w:t>
            </w:r>
          </w:p>
        </w:tc>
        <w:tc>
          <w:p>
            <w:pPr>
              <w:pStyle w:val="Compact"/>
              <w:jc w:val="left"/>
            </w:pPr>
            <w:r>
              <w:t xml:space="preserve">Commercial contract disputes; labor disputes; intellectual property; larger civil matters</w:t>
            </w:r>
          </w:p>
        </w:tc>
        <w:tc>
          <w:p>
            <w:pPr>
              <w:pStyle w:val="Compact"/>
              <w:jc w:val="left"/>
            </w:pPr>
            <w:r>
              <w:t xml:space="preserve">AI collects evidence, generates adjudication recommendations, manages jury</w:t>
            </w:r>
          </w:p>
        </w:tc>
        <w:tc>
          <w:p>
            <w:pPr>
              <w:pStyle w:val="Compact"/>
              <w:jc w:val="left"/>
            </w:pPr>
            <w:r>
              <w:t xml:space="preserve">Random jury vote confirmation; results cannot be overridden by AI</w:t>
            </w:r>
          </w:p>
        </w:tc>
        <w:tc>
          <w:p>
            <w:pPr>
              <w:pStyle w:val="Compact"/>
              <w:jc w:val="left"/>
            </w:pPr>
            <w:r>
              <w:t xml:space="preserve">21 days</w:t>
            </w:r>
          </w:p>
        </w:tc>
      </w:tr>
      <w:tr>
        <w:tc>
          <w:p>
            <w:pPr>
              <w:pStyle w:val="Compact"/>
              <w:jc w:val="left"/>
            </w:pPr>
            <w:r>
              <w:t xml:space="preserve">Category 3: Evidence + Human Judge</w:t>
            </w:r>
          </w:p>
        </w:tc>
        <w:tc>
          <w:p>
            <w:pPr>
              <w:pStyle w:val="Compact"/>
              <w:jc w:val="left"/>
            </w:pPr>
            <w:r>
              <w:t xml:space="preserve">Family law (divorce/custody); major property disputes; medical malpractice</w:t>
            </w:r>
          </w:p>
        </w:tc>
        <w:tc>
          <w:p>
            <w:pPr>
              <w:pStyle w:val="Compact"/>
              <w:jc w:val="left"/>
            </w:pPr>
            <w:r>
              <w:t xml:space="preserve">Limited to evidence collection, legal research, sentencing reference data</w:t>
            </w:r>
          </w:p>
        </w:tc>
        <w:tc>
          <w:p>
            <w:pPr>
              <w:pStyle w:val="Compact"/>
              <w:jc w:val="left"/>
            </w:pPr>
            <w:r>
              <w:t xml:space="preserve">Human judge makes all substantive judgments and final rulings</w:t>
            </w:r>
          </w:p>
        </w:tc>
        <w:tc>
          <w:p>
            <w:pPr>
              <w:pStyle w:val="Compact"/>
              <w:jc w:val="left"/>
            </w:pPr>
            <w:r>
              <w:t xml:space="preserve">60 days</w:t>
            </w:r>
          </w:p>
        </w:tc>
      </w:tr>
      <w:tr>
        <w:tc>
          <w:p>
            <w:pPr>
              <w:pStyle w:val="Compact"/>
              <w:jc w:val="left"/>
            </w:pPr>
            <w:r>
              <w:t xml:space="preserve">Category 4: Evidence Chain Read-Only</w:t>
            </w:r>
          </w:p>
        </w:tc>
        <w:tc>
          <w:p>
            <w:pPr>
              <w:pStyle w:val="Compact"/>
              <w:jc w:val="left"/>
            </w:pPr>
            <w:r>
              <w:t xml:space="preserve">All criminal cases</w:t>
            </w:r>
          </w:p>
        </w:tc>
        <w:tc>
          <w:p>
            <w:pPr>
              <w:pStyle w:val="Compact"/>
              <w:jc w:val="left"/>
            </w:pPr>
            <w:r>
              <w:t xml:space="preserve">Limited to evidence preservation, timeline reconstruction, tamper-proof storage</w:t>
            </w:r>
          </w:p>
        </w:tc>
        <w:tc>
          <w:p>
            <w:pPr>
              <w:pStyle w:val="Compact"/>
              <w:jc w:val="left"/>
            </w:pPr>
            <w:r>
              <w:t xml:space="preserve">Human prosecutor, defense attorney, judge, jury</w:t>
            </w:r>
          </w:p>
        </w:tc>
        <w:tc>
          <w:p>
            <w:pPr>
              <w:pStyle w:val="Compact"/>
              <w:jc w:val="left"/>
            </w:pPr>
            <w:r>
              <w:t xml:space="preserve">No AI-mandated time limit</w:t>
            </w:r>
          </w:p>
        </w:tc>
      </w:tr>
    </w:tbl>
    <w:p>
      <w:pPr>
        <w:pStyle w:val="BodyText"/>
      </w:pPr>
      <w:r>
        <w:rPr>
          <w:rFonts w:ascii="Arial" w:hAnsi="Arial"/>
        </w:rPr>
        <w:t xml:space="preserve">This stratification has one absolute bottom line: AI systems do not have final adjudication authority in any case. Even Category 1 auto adjudication only takes effect automatically when no party raises an objection during the 7-day objection period——essentially consent expressed through silence by the party, not forced execution by AI.</w:t>
      </w:r>
    </w:p>
    <w:p>
      <w:pPr>
        <w:pStyle w:val="BodyText"/>
      </w:pPr>
      <w:r>
        <w:rPr>
          <w:rFonts w:ascii="Arial" w:hAnsi="Arial"/>
          <w:b/>
        </w:rPr>
        <w:t xml:space="preserve">Why are criminal cases restricted to evidence chain read-only?</w:t>
      </w:r>
      <w:r>
        <w:rPr>
          <w:rFonts w:ascii="Arial" w:hAnsi="Arial"/>
        </w:rPr>
        <w:t xml:space="preserve"> </w:t>
      </w:r>
      <w:r>
        <w:rPr>
          <w:rFonts w:ascii="Arial" w:hAnsi="Arial"/>
        </w:rPr>
        <w:t xml:space="preserve">This is the most uncompromising design decision in the entire AI Court Protocol. Historical evidence——especially the case of the U.S. COMPAS sentencing system——clearly demonstrates that when AI systems are used for criminal sentencing references, they produce systematic adverse effects on specific ethnic groups and social classes, and this impact is difficult to detect and correct. In matters involving personal liberty, the cost of any algorithmic bias is unacceptable. Therefore, AI’s role in criminal matters is strictly limited to an evidence preservation tool.</w:t>
      </w:r>
    </w:p>
    <w:p>
      <w:pPr>
        <w:pStyle w:val="BodyText"/>
      </w:pPr>
      <w:r>
        <w:rPr>
          <w:rFonts w:ascii="Arial" w:hAnsi="Arial"/>
          <w:b/>
        </w:rPr>
        <w:t xml:space="preserve">4.3 Technical Design of Three Core Subsystems</w:t>
      </w:r>
    </w:p>
    <w:p>
      <w:pPr>
        <w:pStyle w:val="BodyText"/>
      </w:pPr>
      <w:r>
        <w:rPr>
          <w:rFonts w:ascii="Arial" w:hAnsi="Arial"/>
          <w:b/>
        </w:rPr>
        <w:t xml:space="preserve">Subsystem 1: Evidence Collection Engine</w:t>
      </w:r>
    </w:p>
    <w:p>
      <w:pPr>
        <w:pStyle w:val="BodyText"/>
      </w:pPr>
      <w:r>
        <w:rPr>
          <w:rFonts w:ascii="Arial" w:hAnsi="Arial"/>
        </w:rPr>
        <w:t xml:space="preserve">The Evidence Collection Engine is the data foundation of the AI court. Its design follows two core principles: minimum necessary collection (only collecting data directly relevant to the case) and tamper-proof preservation (all evidence is hash-locked at the moment of collection).</w:t>
      </w:r>
    </w:p>
    <w:p>
      <w:pPr>
        <w:pStyle w:val="BodyText"/>
      </w:pPr>
      <w:r>
        <w:rPr>
          <w:rFonts w:ascii="Arial" w:hAnsi="Arial"/>
        </w:rPr>
        <w:t xml:space="preserve">Evidence Types and Processing Methods:</w:t>
      </w:r>
    </w:p>
    <w:tbl>
      <w:tblPr>
        <w:tblStyle w:val="Table"/>
        <w:tblW w:type="pct" w:w="5000.0"/>
        <w:tblLook w:firstRow="1"/>
      </w:tblPr>
      <w:tblGrid>
        <w:gridCol w:w="1520"/>
        <w:gridCol w:w="1760"/>
        <w:gridCol w:w="2240"/>
        <w:gridCol w:w="2400"/>
      </w:tblGrid>
      <w:tr>
        <w:trPr>
          <w:cnfStyle w:firstRow="1"/>
        </w:trPr>
        <w:tc>
          <w:tcPr>
            <w:tcBorders>
              <w:bottom w:val="single"/>
            </w:tcBorders>
            <w:vAlign w:val="bottom"/>
          </w:tcPr>
          <w:p>
            <w:pPr>
              <w:pStyle w:val="Compact"/>
              <w:jc w:val="left"/>
            </w:pPr>
            <w:r>
              <w:rPr>
                <w:b/>
              </w:rPr>
              <w:t xml:space="preserve">Evidence Type</w:t>
            </w:r>
          </w:p>
        </w:tc>
        <w:tc>
          <w:tcPr>
            <w:tcBorders>
              <w:bottom w:val="single"/>
            </w:tcBorders>
            <w:vAlign w:val="bottom"/>
          </w:tcPr>
          <w:p>
            <w:pPr>
              <w:pStyle w:val="Compact"/>
              <w:jc w:val="left"/>
            </w:pPr>
            <w:r>
              <w:rPr>
                <w:b/>
              </w:rPr>
              <w:t xml:space="preserve">Collection Method</w:t>
            </w:r>
          </w:p>
        </w:tc>
        <w:tc>
          <w:tcPr>
            <w:tcBorders>
              <w:bottom w:val="single"/>
            </w:tcBorders>
            <w:vAlign w:val="bottom"/>
          </w:tcPr>
          <w:p>
            <w:pPr>
              <w:pStyle w:val="Compact"/>
              <w:jc w:val="left"/>
            </w:pPr>
            <w:r>
              <w:rPr>
                <w:b/>
              </w:rPr>
              <w:t xml:space="preserve">Tamper-Proof Mechanism</w:t>
            </w:r>
          </w:p>
        </w:tc>
        <w:tc>
          <w:tcPr>
            <w:tcBorders>
              <w:bottom w:val="single"/>
            </w:tcBorders>
            <w:vAlign w:val="bottom"/>
          </w:tcPr>
          <w:p>
            <w:pPr>
              <w:pStyle w:val="Compact"/>
              <w:jc w:val="left"/>
            </w:pPr>
            <w:r>
              <w:rPr>
                <w:b/>
              </w:rPr>
              <w:t xml:space="preserve">Credibility Scoring Logic</w:t>
            </w:r>
          </w:p>
        </w:tc>
      </w:tr>
      <w:tr>
        <w:tc>
          <w:p>
            <w:pPr>
              <w:pStyle w:val="Compact"/>
              <w:jc w:val="left"/>
            </w:pPr>
            <w:r>
              <w:t xml:space="preserve">On-chain digital records</w:t>
            </w:r>
          </w:p>
        </w:tc>
        <w:tc>
          <w:p>
            <w:pPr>
              <w:pStyle w:val="Compact"/>
              <w:jc w:val="left"/>
            </w:pPr>
            <w:r>
              <w:t xml:space="preserve">Direct retrieval from blockchain, original data</w:t>
            </w:r>
          </w:p>
        </w:tc>
        <w:tc>
          <w:p>
            <w:pPr>
              <w:pStyle w:val="Compact"/>
              <w:jc w:val="left"/>
            </w:pPr>
            <w:r>
              <w:t xml:space="preserve">Transaction hash naturally tamper-proof</w:t>
            </w:r>
          </w:p>
        </w:tc>
        <w:tc>
          <w:p>
            <w:pPr>
              <w:pStyle w:val="Compact"/>
              <w:jc w:val="left"/>
            </w:pPr>
            <w:r>
              <w:t xml:space="preserve">Highest——mathematically guaranteed</w:t>
            </w:r>
          </w:p>
        </w:tc>
      </w:tr>
      <w:tr>
        <w:tc>
          <w:p>
            <w:pPr>
              <w:pStyle w:val="Compact"/>
              <w:jc w:val="left"/>
            </w:pPr>
            <w:r>
              <w:t xml:space="preserve">Contracts and documents</w:t>
            </w:r>
          </w:p>
        </w:tc>
        <w:tc>
          <w:p>
            <w:pPr>
              <w:pStyle w:val="Compact"/>
              <w:jc w:val="left"/>
            </w:pPr>
            <w:r>
              <w:t xml:space="preserve">OCR scanning + semantic analysis + metadata extraction</w:t>
            </w:r>
          </w:p>
        </w:tc>
        <w:tc>
          <w:p>
            <w:pPr>
              <w:pStyle w:val="Compact"/>
              <w:jc w:val="left"/>
            </w:pPr>
            <w:r>
              <w:t xml:space="preserve">SHA-256 hash stored on-chain at moment of collection</w:t>
            </w:r>
          </w:p>
        </w:tc>
        <w:tc>
          <w:p>
            <w:pPr>
              <w:pStyle w:val="Compact"/>
              <w:jc w:val="left"/>
            </w:pPr>
            <w:r>
              <w:t xml:space="preserve">High——file fingerprint locked</w:t>
            </w:r>
          </w:p>
        </w:tc>
      </w:tr>
      <w:tr>
        <w:tc>
          <w:p>
            <w:pPr>
              <w:pStyle w:val="Compact"/>
              <w:jc w:val="left"/>
            </w:pPr>
            <w:r>
              <w:t xml:space="preserve">Communication records</w:t>
            </w:r>
          </w:p>
        </w:tc>
        <w:tc>
          <w:p>
            <w:pPr>
              <w:pStyle w:val="Compact"/>
              <w:jc w:val="left"/>
            </w:pPr>
            <w:r>
              <w:t xml:space="preserve">Timestamp + sender identity verification extraction</w:t>
            </w:r>
          </w:p>
        </w:tc>
        <w:tc>
          <w:p>
            <w:pPr>
              <w:pStyle w:val="Compact"/>
              <w:jc w:val="left"/>
            </w:pPr>
            <w:r>
              <w:t xml:space="preserve">On-chain timestamp unmodifiable</w:t>
            </w:r>
          </w:p>
        </w:tc>
        <w:tc>
          <w:p>
            <w:pPr>
              <w:pStyle w:val="Compact"/>
              <w:jc w:val="left"/>
            </w:pPr>
            <w:r>
              <w:t xml:space="preserve">Medium-High——requires sender ID verification</w:t>
            </w:r>
          </w:p>
        </w:tc>
      </w:tr>
      <w:tr>
        <w:tc>
          <w:p>
            <w:pPr>
              <w:pStyle w:val="Compact"/>
              <w:jc w:val="left"/>
            </w:pPr>
            <w:r>
              <w:t xml:space="preserve">Video evidence</w:t>
            </w:r>
          </w:p>
        </w:tc>
        <w:tc>
          <w:p>
            <w:pPr>
              <w:pStyle w:val="Compact"/>
              <w:jc w:val="left"/>
            </w:pPr>
            <w:r>
              <w:t xml:space="preserve">Frame-by-frame analysis + timeline reconstruction + facial recognition</w:t>
            </w:r>
          </w:p>
        </w:tc>
        <w:tc>
          <w:p>
            <w:pPr>
              <w:pStyle w:val="Compact"/>
              <w:jc w:val="left"/>
            </w:pPr>
            <w:r>
              <w:t xml:space="preserve">Video hash + analysis report stored simultaneously on-chain</w:t>
            </w:r>
          </w:p>
        </w:tc>
        <w:tc>
          <w:p>
            <w:pPr>
              <w:pStyle w:val="Compact"/>
              <w:jc w:val="left"/>
            </w:pPr>
            <w:r>
              <w:t xml:space="preserve">Medium——subject to challenge requiring cross-validation</w:t>
            </w:r>
          </w:p>
        </w:tc>
      </w:tr>
      <w:tr>
        <w:tc>
          <w:p>
            <w:pPr>
              <w:pStyle w:val="Compact"/>
              <w:jc w:val="left"/>
            </w:pPr>
            <w:r>
              <w:t xml:space="preserve">Witness testimony</w:t>
            </w:r>
          </w:p>
        </w:tc>
        <w:tc>
          <w:p>
            <w:pPr>
              <w:pStyle w:val="Compact"/>
              <w:jc w:val="left"/>
            </w:pPr>
            <w:r>
              <w:t xml:space="preserve">Speech-to-text + semantic consistency analysis</w:t>
            </w:r>
          </w:p>
        </w:tc>
        <w:tc>
          <w:p>
            <w:pPr>
              <w:pStyle w:val="Compact"/>
              <w:jc w:val="left"/>
            </w:pPr>
            <w:r>
              <w:t xml:space="preserve">Testimony timestamp and identity locked on-chain</w:t>
            </w:r>
          </w:p>
        </w:tc>
        <w:tc>
          <w:p>
            <w:pPr>
              <w:pStyle w:val="Compact"/>
              <w:jc w:val="left"/>
            </w:pPr>
            <w:r>
              <w:t xml:space="preserve">Low——requires cross-validation with other evidence</w:t>
            </w:r>
          </w:p>
        </w:tc>
      </w:tr>
      <w:tr>
        <w:tc>
          <w:p>
            <w:pPr>
              <w:pStyle w:val="Compact"/>
              <w:jc w:val="left"/>
            </w:pPr>
            <w:r>
              <w:t xml:space="preserve">Physical evidence</w:t>
            </w:r>
          </w:p>
        </w:tc>
        <w:tc>
          <w:p>
            <w:pPr>
              <w:pStyle w:val="Compact"/>
              <w:jc w:val="left"/>
            </w:pPr>
            <w:r>
              <w:t xml:space="preserve">AI description + image recording + chain of custody records</w:t>
            </w:r>
          </w:p>
        </w:tc>
        <w:tc>
          <w:p>
            <w:pPr>
              <w:pStyle w:val="Compact"/>
              <w:jc w:val="left"/>
            </w:pPr>
            <w:r>
              <w:t xml:space="preserve">Each transfer of custody signed on-chain</w:t>
            </w:r>
          </w:p>
        </w:tc>
        <w:tc>
          <w:p>
            <w:pPr>
              <w:pStyle w:val="Compact"/>
              <w:jc w:val="left"/>
            </w:pPr>
            <w:r>
              <w:t xml:space="preserve">Medium——dependent on chain of custody integrity</w:t>
            </w:r>
          </w:p>
        </w:tc>
      </w:tr>
    </w:tbl>
    <w:p>
      <w:pPr>
        <w:pStyle w:val="BodyText"/>
      </w:pPr>
      <w:r>
        <w:rPr>
          <w:rFonts w:ascii="Arial" w:hAnsi="Arial"/>
        </w:rPr>
        <w:t xml:space="preserve">Multi-source cross-validation is the core mechanism for evidence credibility assessment. Single-source evidence is automatically tagged as low credibility by the system; corroboration from multiple independent sources raises the confidence score. This technically makes it substantially more difficult to fabricate evidence——an attacker cannot simply tamper with one record but must create consistent false information across multiple independent sources simultaneously.</w:t>
      </w:r>
    </w:p>
    <w:p>
      <w:pPr>
        <w:pStyle w:val="BodyText"/>
      </w:pPr>
      <w:r>
        <w:rPr>
          <w:rFonts w:ascii="Arial" w:hAnsi="Arial"/>
          <w:b/>
        </w:rPr>
        <w:t xml:space="preserve">Subsystem 2: Verdict Reasoning Engine</w:t>
      </w:r>
    </w:p>
    <w:p>
      <w:pPr>
        <w:pStyle w:val="BodyText"/>
      </w:pPr>
      <w:r>
        <w:rPr>
          <w:rFonts w:ascii="Arial" w:hAnsi="Arial"/>
        </w:rPr>
        <w:t xml:space="preserve">The Verdict Reasoning Engine concentrates the most technical challenges of the AI Court Protocol. It must find balance among four seemingly contradictory requirements: sufficiently accurate, fully explainable, case-consistent, and value-sensitive.</w:t>
      </w:r>
    </w:p>
    <w:p>
      <w:pPr>
        <w:pStyle w:val="BodyText"/>
      </w:pPr>
      <w:r>
        <w:rPr>
          <w:rFonts w:ascii="Arial" w:hAnsi="Arial"/>
          <w:b/>
        </w:rPr>
        <w:t xml:space="preserve">Legal Knowledge Graph:</w:t>
      </w:r>
      <w:r>
        <w:rPr>
          <w:rFonts w:ascii="Arial" w:hAnsi="Arial"/>
        </w:rPr>
        <w:t xml:space="preserve"> </w:t>
      </w:r>
      <w:r>
        <w:rPr>
          <w:rFonts w:ascii="Arial" w:hAnsi="Arial"/>
        </w:rPr>
        <w:t xml:space="preserve">The knowledge foundation of the Verdict Reasoning Engine is not a text database but a structured computable knowledge graph encoding relationships between constitutions, statutes, case law, and legal principles. The relationship of each law to other laws and the binding force of each precedent on future similar cases are encoded as nodes and edges in the graph. The reasoning process follows directed paths through this graph, with each step traceable to specific legal basis.</w:t>
      </w:r>
    </w:p>
    <w:p>
      <w:pPr>
        <w:pStyle w:val="BodyText"/>
      </w:pPr>
      <w:r>
        <w:rPr>
          <w:rFonts w:ascii="Arial" w:hAnsi="Arial"/>
          <w:b/>
        </w:rPr>
        <w:t xml:space="preserve">Case Consistency Check:</w:t>
      </w:r>
      <w:r>
        <w:rPr>
          <w:rFonts w:ascii="Arial" w:hAnsi="Arial"/>
        </w:rPr>
        <w:t xml:space="preserve"> </w:t>
      </w:r>
      <w:r>
        <w:rPr>
          <w:rFonts w:ascii="Arial" w:hAnsi="Arial"/>
        </w:rPr>
        <w:t xml:space="preserve">After each new verdict is generated, the system automatically compares it with the results of the 100 most similar historical cases (determined through vector similarity calculation). If the new verdict’s deviation from historical precedents exceeds the statistical threshold, the system automatically flags it as a</w:t>
      </w:r>
      <w:r>
        <w:rPr>
          <w:rFonts w:ascii="Arial" w:hAnsi="Arial"/>
        </w:rPr>
        <w:t xml:space="preserve"> </w:t>
      </w:r>
      <w:r>
        <w:rPr>
          <w:rFonts w:ascii="Arial" w:hAnsi="Arial"/>
        </w:rPr>
        <w:t xml:space="preserve">“</w:t>
      </w:r>
      <w:r>
        <w:rPr>
          <w:rFonts w:ascii="Arial" w:hAnsi="Arial"/>
        </w:rPr>
        <w:t xml:space="preserve">high-deviation case</w:t>
      </w:r>
      <w:r>
        <w:rPr>
          <w:rFonts w:ascii="Arial" w:hAnsi="Arial"/>
        </w:rPr>
        <w:t xml:space="preserve">”</w:t>
      </w:r>
      <w:r>
        <w:rPr>
          <w:rFonts w:ascii="Arial" w:hAnsi="Arial"/>
        </w:rPr>
        <w:t xml:space="preserve"> </w:t>
      </w:r>
      <w:r>
        <w:rPr>
          <w:rFonts w:ascii="Arial" w:hAnsi="Arial"/>
        </w:rPr>
        <w:t xml:space="preserve">and pauses, requiring human review before proceeding. This mechanism ensures legal consistency——similar cases will not receive drastically different results due to differences in processing time.</w:t>
      </w:r>
    </w:p>
    <w:p>
      <w:pPr>
        <w:pStyle w:val="BodyText"/>
      </w:pPr>
      <w:r>
        <w:rPr>
          <w:rFonts w:ascii="Arial" w:hAnsi="Arial"/>
          <w:b/>
        </w:rPr>
        <w:t xml:space="preserve">Explainable Reasoning Chain:</w:t>
      </w:r>
      <w:r>
        <w:rPr>
          <w:rFonts w:ascii="Arial" w:hAnsi="Arial"/>
        </w:rPr>
        <w:t xml:space="preserve"> </w:t>
      </w:r>
      <w:r>
        <w:rPr>
          <w:rFonts w:ascii="Arial" w:hAnsi="Arial"/>
        </w:rPr>
        <w:t xml:space="preserve">This is the most important output requirement of the Verdict Reasoning Engine. Every verdict recommendation must be accompanied by a human-readable reasoning chain, written in language that ordinary people can understand, from case facts to legal basis to verdict conclusion. The quality of the reasoning chain is not merely a technical requirement but also a legitimacy requirement——parties must be able to understand why the AI made this recommendation in order to effectively raise objections.</w:t>
      </w:r>
    </w:p>
    <w:p>
      <w:pPr>
        <w:pStyle w:val="BodyText"/>
      </w:pPr>
      <w:r>
        <w:rPr>
          <w:rFonts w:ascii="Arial" w:hAnsi="Arial"/>
          <w:b/>
        </w:rPr>
        <w:t xml:space="preserve">Confidence and Uncertainty Annotation:</w:t>
      </w:r>
      <w:r>
        <w:rPr>
          <w:rFonts w:ascii="Arial" w:hAnsi="Arial"/>
        </w:rPr>
        <w:t xml:space="preserve"> </w:t>
      </w:r>
      <w:r>
        <w:rPr>
          <w:rFonts w:ascii="Arial" w:hAnsi="Arial"/>
        </w:rPr>
        <w:t xml:space="preserve">The Verdict Reasoning Engine does not merely provide verdict recommendations; it must also provide confidence scores and uncertainty annotations. Verdict recommendations with confidence below 75% automatically trigger an expanded jury mechanism (increasing from the standard 9 to 15 jurors); ambiguous areas involving value judgments are explicitly annotated, alerting the jury that this portion requires human value judgment rather than technical calculation.</w:t>
      </w:r>
    </w:p>
    <w:p>
      <w:pPr>
        <w:pStyle w:val="BodyText"/>
      </w:pPr>
      <w:r>
        <w:rPr>
          <w:rFonts w:ascii="Arial" w:hAnsi="Arial"/>
          <w:b/>
        </w:rPr>
        <w:t xml:space="preserve">Subsystem 3: Random Jury System</w:t>
      </w:r>
    </w:p>
    <w:p>
      <w:pPr>
        <w:pStyle w:val="BodyText"/>
      </w:pPr>
      <w:r>
        <w:rPr>
          <w:rFonts w:ascii="Arial" w:hAnsi="Arial"/>
        </w:rPr>
        <w:t xml:space="preserve">The Random Jury System is the most critical human intervention point in the entire AI Court Protocol. Its design objectives are: eliminating fixed judicial power nodes while ensuring jury process quality and manipulation resistance.</w:t>
      </w:r>
    </w:p>
    <w:p>
      <w:pPr>
        <w:pStyle w:val="BodyText"/>
      </w:pPr>
      <w:r>
        <w:rPr>
          <w:rFonts w:ascii="Arial" w:hAnsi="Arial"/>
          <w:b/>
        </w:rPr>
        <w:t xml:space="preserve">Verifiable Random Selection:</w:t>
      </w:r>
      <w:r>
        <w:rPr>
          <w:rFonts w:ascii="Arial" w:hAnsi="Arial"/>
        </w:rPr>
        <w:t xml:space="preserve"> </w:t>
      </w:r>
      <w:r>
        <w:rPr>
          <w:rFonts w:ascii="Arial" w:hAnsi="Arial"/>
        </w:rPr>
        <w:t xml:space="preserve">Jurors are selected from a pool of eligible citizen IDs, using the hash values of the most recent N blocks on the blockchain as random number seeds. This randomness is verifiable——anyone can independently recalculate results using the same random seed and algorithm to verify that the selection process was not manipulated. Eligibility conditions: holding a valid AI-Citizen ID, no conflicts of interest with the case, and passing a basic civic knowledge test.</w:t>
      </w:r>
    </w:p>
    <w:p>
      <w:pPr>
        <w:pStyle w:val="BodyText"/>
      </w:pPr>
      <w:r>
        <w:rPr>
          <w:rFonts w:ascii="Arial" w:hAnsi="Arial"/>
          <w:b/>
        </w:rPr>
        <w:t xml:space="preserve">Automatic Conflict of Interest Filtering:</w:t>
      </w:r>
      <w:r>
        <w:rPr>
          <w:rFonts w:ascii="Arial" w:hAnsi="Arial"/>
        </w:rPr>
        <w:t xml:space="preserve"> </w:t>
      </w:r>
      <w:r>
        <w:rPr>
          <w:rFonts w:ascii="Arial" w:hAnsi="Arial"/>
        </w:rPr>
        <w:t xml:space="preserve">After the selection results are generated, the AI system automatically checks each candidate juror’s relationship with all parties in the case: direct economic connections, social network overlap, and history of conflicts. If any threshold is triggered, that candidate is automatically replaced, with full process without human intervention and immune to personal relationship influence.</w:t>
      </w:r>
    </w:p>
    <w:p>
      <w:pPr>
        <w:pStyle w:val="BodyText"/>
      </w:pPr>
      <w:r>
        <w:rPr>
          <w:rFonts w:ascii="Arial" w:hAnsi="Arial"/>
          <w:b/>
        </w:rPr>
        <w:t xml:space="preserve">Isolated Deliberation Mechanism:</w:t>
      </w:r>
      <w:r>
        <w:rPr>
          <w:rFonts w:ascii="Arial" w:hAnsi="Arial"/>
        </w:rPr>
        <w:t xml:space="preserve"> </w:t>
      </w:r>
      <w:r>
        <w:rPr>
          <w:rFonts w:ascii="Arial" w:hAnsi="Arial"/>
        </w:rPr>
        <w:t xml:space="preserve">Jurors independently read AI evidence summaries and verdict recommendations in a physically or digitally isolated environment, each forming an initial judgment before simultaneously submitting a first round of anonymous votes. Only when the voting results show significant divergence (support versus opposition ratio falls between 45% and 55%) does a round of restricted structured discussion get triggered——each juror states their reasoning once, without allowing cross-argumentation, then votes independently again. This mechanism reduces conformity effects and group polarization.</w:t>
      </w:r>
    </w:p>
    <w:p>
      <w:pPr>
        <w:pStyle w:val="BodyText"/>
      </w:pPr>
      <w:r>
        <w:rPr>
          <w:rFonts w:ascii="Arial" w:hAnsi="Arial"/>
          <w:b/>
        </w:rPr>
        <w:t xml:space="preserve">Divergence Signal Utilization:</w:t>
      </w:r>
      <w:r>
        <w:rPr>
          <w:rFonts w:ascii="Arial" w:hAnsi="Arial"/>
        </w:rPr>
        <w:t xml:space="preserve"> </w:t>
      </w:r>
      <w:r>
        <w:rPr>
          <w:rFonts w:ascii="Arial" w:hAnsi="Arial"/>
        </w:rPr>
        <w:t xml:space="preserve">When jury results diverge significantly from AI ruling recommendations, this divergence is not simply ignored or overridden, but treated as an important learning signal. Divergent cases are marked as</w:t>
      </w:r>
      <w:r>
        <w:rPr>
          <w:rFonts w:ascii="Arial" w:hAnsi="Arial"/>
        </w:rPr>
        <w:t xml:space="preserve"> </w:t>
      </w:r>
      <w:r>
        <w:rPr>
          <w:rFonts w:ascii="Arial" w:hAnsi="Arial"/>
        </w:rPr>
        <w:t xml:space="preserve">“</w:t>
      </w:r>
      <w:r>
        <w:rPr>
          <w:rFonts w:ascii="Arial" w:hAnsi="Arial"/>
        </w:rPr>
        <w:t xml:space="preserve">knowledge boundary cases,</w:t>
      </w:r>
      <w:r>
        <w:rPr>
          <w:rFonts w:ascii="Arial" w:hAnsi="Arial"/>
        </w:rPr>
        <w:t xml:space="preserve">”</w:t>
      </w:r>
      <w:r>
        <w:rPr>
          <w:rFonts w:ascii="Arial" w:hAnsi="Arial"/>
        </w:rPr>
        <w:t xml:space="preserve"> </w:t>
      </w:r>
      <w:r>
        <w:rPr>
          <w:rFonts w:ascii="Arial" w:hAnsi="Arial"/>
        </w:rPr>
        <w:t xml:space="preserve">triggering review and possible updates to the legal knowledge graph, as well as calibration assessment of the ethical weight model. The divergence between human judgment and AI reasoning is the most valuable data source for discovering AI cognitive blind spots.</w:t>
      </w:r>
    </w:p>
    <w:p>
      <w:pPr>
        <w:pStyle w:val="BodyText"/>
      </w:pPr>
      <w:r>
        <w:rPr>
          <w:rFonts w:ascii="Arial" w:hAnsi="Arial"/>
          <w:b/>
        </w:rPr>
        <w:t xml:space="preserve">4.4 Three Complete Case Simulations</w:t>
      </w:r>
    </w:p>
    <w:p>
      <w:pPr>
        <w:pStyle w:val="BodyText"/>
      </w:pPr>
      <w:r>
        <w:rPr>
          <w:rFonts w:ascii="Arial" w:hAnsi="Arial"/>
        </w:rPr>
        <w:t xml:space="preserve">Abstract system designs can only be truly understood through concrete cases. The following three cases demonstrate how the AI Court Protocol operates in practice across different types of cases.</w:t>
      </w:r>
    </w:p>
    <w:p>
      <w:pPr>
        <w:pStyle w:val="BodyText"/>
      </w:pPr>
      <w:r>
        <w:rPr>
          <w:rFonts w:ascii="Arial" w:hAnsi="Arial"/>
          <w:b/>
        </w:rPr>
        <w:t xml:space="preserve">Case One: Small Commercial Disputes (First Category)</w:t>
      </w:r>
    </w:p>
    <w:p>
      <w:pPr>
        <w:pStyle w:val="BlockText"/>
      </w:pPr>
      <w:r>
        <w:rPr>
          <w:rFonts w:ascii="Arial" w:hAnsi="Arial"/>
          <w:b/>
        </w:rPr>
        <w:t xml:space="preserve">Case Background</w:t>
      </w:r>
    </w:p>
    <w:p>
      <w:pPr>
        <w:pStyle w:val="BlockText"/>
      </w:pPr>
      <w:r>
        <w:rPr>
          <w:rFonts w:ascii="Arial" w:hAnsi="Arial"/>
        </w:rPr>
        <w:t xml:space="preserve">Party A (supplier) delivered goods to Party B (retailer) under a contract with a 30-day payment term. The goods have been accepted and confirmed, but Party B has delayed payment for 67 days. The disputed amount: 1.8 times the city’s average monthly wage (below the first category threshold). Party A submits a dispute application through the AI court system.</w:t>
      </w:r>
    </w:p>
    <w:p>
      <w:pPr>
        <w:pStyle w:val="BlockText"/>
      </w:pPr>
      <w:r>
        <w:rPr>
          <w:rFonts w:ascii="Arial" w:hAnsi="Arial"/>
          <w:b/>
        </w:rPr>
        <w:t xml:space="preserve">AI Processing Flow</w:t>
      </w:r>
    </w:p>
    <w:p>
      <w:pPr>
        <w:pStyle w:val="BlockText"/>
      </w:pPr>
      <w:r>
        <w:rPr>
          <w:rFonts w:ascii="Arial" w:hAnsi="Arial"/>
          <w:b/>
        </w:rPr>
        <w:t xml:space="preserve">【Filing】</w:t>
      </w:r>
      <w:r>
        <w:rPr>
          <w:rFonts w:ascii="Arial" w:hAnsi="Arial"/>
        </w:rPr>
        <w:t xml:space="preserve"> </w:t>
      </w:r>
      <w:r>
        <w:rPr>
          <w:rFonts w:ascii="Arial" w:hAnsi="Arial"/>
        </w:rPr>
        <w:t xml:space="preserve">Party A submits the application, and the AI system verifies both parties’ AI-Citizen IDs, confirming the case belongs to the first category. The system automatically notifies Party B, providing a 48-hour window to submit defense materials.</w:t>
      </w:r>
    </w:p>
    <w:p>
      <w:pPr>
        <w:pStyle w:val="BlockText"/>
      </w:pPr>
      <w:r>
        <w:rPr>
          <w:rFonts w:ascii="Arial" w:hAnsi="Arial"/>
          <w:b/>
        </w:rPr>
        <w:t xml:space="preserve">【Evidence Collection】</w:t>
      </w:r>
      <w:r>
        <w:rPr>
          <w:rFonts w:ascii="Arial" w:hAnsi="Arial"/>
        </w:rPr>
        <w:t xml:space="preserve"> </w:t>
      </w:r>
      <w:r>
        <w:rPr>
          <w:rFonts w:ascii="Arial" w:hAnsi="Arial"/>
        </w:rPr>
        <w:t xml:space="preserve">The AI system retrieves directly from the blockchain: the supply contract (with digital signatures), goods acceptance records (confirmed by Party B’s digital signature), the agreed payment date, and actual payment records (showing none). All evidence is hashed on-chain at the moment of retrieval.</w:t>
      </w:r>
    </w:p>
    <w:p>
      <w:pPr>
        <w:pStyle w:val="BlockText"/>
      </w:pPr>
      <w:r>
        <w:rPr>
          <w:rFonts w:ascii="Arial" w:hAnsi="Arial"/>
          <w:b/>
        </w:rPr>
        <w:t xml:space="preserve">【Reasoning Generation】</w:t>
      </w:r>
      <w:r>
        <w:rPr>
          <w:rFonts w:ascii="Arial" w:hAnsi="Arial"/>
        </w:rPr>
        <w:t xml:space="preserve"> </w:t>
      </w:r>
      <w:r>
        <w:rPr>
          <w:rFonts w:ascii="Arial" w:hAnsi="Arial"/>
        </w:rPr>
        <w:t xml:space="preserve">Legal knowledge graph search: Contract Law Article XX (payment obligation after goods acceptance), 37 similar cases in the precedent database (94% success rate). Reasoning chain: Contract formed → Goods delivered → Acceptance confirmed → Payment deadline passed → No payment → Breach established. Confidence score: 96.3%.</w:t>
      </w:r>
    </w:p>
    <w:p>
      <w:pPr>
        <w:pStyle w:val="BlockText"/>
      </w:pPr>
      <w:r>
        <w:rPr>
          <w:rFonts w:ascii="Arial" w:hAnsi="Arial"/>
          <w:b/>
        </w:rPr>
        <w:t xml:space="preserve">【Ruling Recommendation】</w:t>
      </w:r>
      <w:r>
        <w:rPr>
          <w:rFonts w:ascii="Arial" w:hAnsi="Arial"/>
        </w:rPr>
        <w:t xml:space="preserve"> </w:t>
      </w:r>
      <w:r>
        <w:rPr>
          <w:rFonts w:ascii="Arial" w:hAnsi="Arial"/>
        </w:rPr>
        <w:t xml:space="preserve">Party B shall pay Party A the full contract amount, plus liquidated damages calculated from day 31 of overdue payment at the contractually agreed rate. The complete reasoning chain is attached and accessible to both parties.</w:t>
      </w:r>
    </w:p>
    <w:p>
      <w:pPr>
        <w:pStyle w:val="BlockText"/>
      </w:pPr>
      <w:r>
        <w:rPr>
          <w:rFonts w:ascii="Arial" w:hAnsi="Arial"/>
          <w:b/>
        </w:rPr>
        <w:t xml:space="preserve">【7-Day Objection Period】</w:t>
      </w:r>
      <w:r>
        <w:rPr>
          <w:rFonts w:ascii="Arial" w:hAnsi="Arial"/>
        </w:rPr>
        <w:t xml:space="preserve"> </w:t>
      </w:r>
      <w:r>
        <w:rPr>
          <w:rFonts w:ascii="Arial" w:hAnsi="Arial"/>
        </w:rPr>
        <w:t xml:space="preserve">The system notifies both parties of the ruling recommendation. Party B submits an objection on day 3, claiming quality issues with the goods, but provides no quality inspection records or contemporaneous notice of defect. AI system assessment: Objection lacks supporting evidence and directly contradicts acceptance records. Objection rejected; ruling upheld.</w:t>
      </w:r>
    </w:p>
    <w:p>
      <w:pPr>
        <w:pStyle w:val="BlockText"/>
      </w:pPr>
      <w:r>
        <w:rPr>
          <w:rFonts w:ascii="Arial" w:hAnsi="Arial"/>
          <w:b/>
        </w:rPr>
        <w:t xml:space="preserve">【Execution】</w:t>
      </w:r>
      <w:r>
        <w:rPr>
          <w:rFonts w:ascii="Arial" w:hAnsi="Arial"/>
        </w:rPr>
        <w:t xml:space="preserve"> </w:t>
      </w:r>
      <w:r>
        <w:rPr>
          <w:rFonts w:ascii="Arial" w:hAnsi="Arial"/>
        </w:rPr>
        <w:t xml:space="preserve">On day 8, the ruling takes effect automatically. The AI financial management module issues a payment instruction to Party B (if Party B’s account balance is sufficient, funds are automatically transferred to Party A’s account), with full on-chain records.</w:t>
      </w:r>
    </w:p>
    <w:p>
      <w:pPr>
        <w:pStyle w:val="FirstParagraph"/>
      </w:pPr>
      <w:r>
        <w:rPr>
          <w:rFonts w:ascii="Arial" w:hAnsi="Arial"/>
          <w:b/>
        </w:rPr>
        <w:t xml:space="preserve">Outcome Comparison:</w:t>
      </w:r>
      <w:r>
        <w:rPr>
          <w:rFonts w:ascii="Arial" w:hAnsi="Arial"/>
        </w:rPr>
        <w:t xml:space="preserve"> </w:t>
      </w:r>
      <w:r>
        <w:rPr>
          <w:rFonts w:ascii="Arial" w:hAnsi="Arial"/>
        </w:rPr>
        <w:t xml:space="preserve">Traditional judicial process: Similar cases require 3 to 12 months in most jurisdictions, with attorney fees approximately 20% to 40% of the disputed amount. AI court: 10 days from filing to execution, with system fees at 0.5% of the disputed amount.</w:t>
      </w:r>
    </w:p>
    <w:p>
      <w:pPr>
        <w:pStyle w:val="BodyText"/>
      </w:pPr>
      <w:r>
        <w:rPr>
          <w:rFonts w:ascii="Arial" w:hAnsi="Arial"/>
          <w:b/>
        </w:rPr>
        <w:t xml:space="preserve">Case Two: Labor Dispute (Second Category)</w:t>
      </w:r>
    </w:p>
    <w:p>
      <w:pPr>
        <w:pStyle w:val="BlockText"/>
      </w:pPr>
      <w:r>
        <w:rPr>
          <w:rFonts w:ascii="Arial" w:hAnsi="Arial"/>
          <w:b/>
        </w:rPr>
        <w:t xml:space="preserve">Case Background</w:t>
      </w:r>
    </w:p>
    <w:p>
      <w:pPr>
        <w:pStyle w:val="BlockText"/>
      </w:pPr>
      <w:r>
        <w:rPr>
          <w:rFonts w:ascii="Arial" w:hAnsi="Arial"/>
        </w:rPr>
        <w:t xml:space="preserve">An employee (C) of a technology company claims that the company (D) substantially demoted their position and reduced compensation during their maternity leave, constituting gender discriminatory dismissal. The disputed amount: 12 months of salary differential. This case involves value judgment (what constitutes</w:t>
      </w:r>
      <w:r>
        <w:rPr>
          <w:rFonts w:ascii="Arial" w:hAnsi="Arial"/>
        </w:rPr>
        <w:t xml:space="preserve"> </w:t>
      </w:r>
      <w:r>
        <w:rPr>
          <w:rFonts w:ascii="Arial" w:hAnsi="Arial"/>
        </w:rPr>
        <w:t xml:space="preserve">“</w:t>
      </w:r>
      <w:r>
        <w:rPr>
          <w:rFonts w:ascii="Arial" w:hAnsi="Arial"/>
        </w:rPr>
        <w:t xml:space="preserve">substantial demotion</w:t>
      </w:r>
      <w:r>
        <w:rPr>
          <w:rFonts w:ascii="Arial" w:hAnsi="Arial"/>
        </w:rPr>
        <w:t xml:space="preserve">”</w:t>
      </w:r>
      <w:r>
        <w:rPr>
          <w:rFonts w:ascii="Arial" w:hAnsi="Arial"/>
        </w:rPr>
        <w:t xml:space="preserve">) and extensive communication evidence, placing it in the second category.</w:t>
      </w:r>
    </w:p>
    <w:p>
      <w:pPr>
        <w:pStyle w:val="BlockText"/>
      </w:pPr>
      <w:r>
        <w:rPr>
          <w:rFonts w:ascii="Arial" w:hAnsi="Arial"/>
          <w:b/>
        </w:rPr>
        <w:t xml:space="preserve">AI Processing Flow</w:t>
      </w:r>
    </w:p>
    <w:p>
      <w:pPr>
        <w:pStyle w:val="BlockText"/>
      </w:pPr>
      <w:r>
        <w:rPr>
          <w:rFonts w:ascii="Arial" w:hAnsi="Arial"/>
          <w:b/>
        </w:rPr>
        <w:t xml:space="preserve">【Evidence Collection】</w:t>
      </w:r>
      <w:r>
        <w:rPr>
          <w:rFonts w:ascii="Arial" w:hAnsi="Arial"/>
        </w:rPr>
        <w:t xml:space="preserve"> </w:t>
      </w:r>
      <w:r>
        <w:rPr>
          <w:rFonts w:ascii="Arial" w:hAnsi="Arial"/>
        </w:rPr>
        <w:t xml:space="preserve">The AI system extracts: C’s employment contract, performance evaluation records, position description changes before and after maternity leave, salary adjustment records, relevant internal emails (accessed with C’s authorization), and salary change data for comparable employees during the same period (anonymized). Video analysis: Recording transcripts from 3 important meetings (authorized by the court).</w:t>
      </w:r>
    </w:p>
    <w:p>
      <w:pPr>
        <w:pStyle w:val="BlockText"/>
      </w:pPr>
      <w:r>
        <w:rPr>
          <w:rFonts w:ascii="Arial" w:hAnsi="Arial"/>
          <w:b/>
        </w:rPr>
        <w:t xml:space="preserve">【Pattern Analysis】</w:t>
      </w:r>
      <w:r>
        <w:rPr>
          <w:rFonts w:ascii="Arial" w:hAnsi="Arial"/>
        </w:rPr>
        <w:t xml:space="preserve"> </w:t>
      </w:r>
      <w:r>
        <w:rPr>
          <w:rFonts w:ascii="Arial" w:hAnsi="Arial"/>
        </w:rPr>
        <w:t xml:space="preserve">The AI system compares position description changes before and after maternity leave, finding that core responsibilities contracted by approximately 40%, though the position title remained unchanged. Comparison with same-level employees without maternity leave records during the same period: none show similar responsibility contraction. Statistical significance: p&lt;0.05.</w:t>
      </w:r>
    </w:p>
    <w:p>
      <w:pPr>
        <w:pStyle w:val="BlockText"/>
      </w:pPr>
      <w:r>
        <w:rPr>
          <w:rFonts w:ascii="Arial" w:hAnsi="Arial"/>
          <w:b/>
        </w:rPr>
        <w:t xml:space="preserve">【Ruling Recommendation Generation】</w:t>
      </w:r>
      <w:r>
        <w:rPr>
          <w:rFonts w:ascii="Arial" w:hAnsi="Arial"/>
        </w:rPr>
        <w:t xml:space="preserve"> </w:t>
      </w:r>
      <w:r>
        <w:rPr>
          <w:rFonts w:ascii="Arial" w:hAnsi="Arial"/>
        </w:rPr>
        <w:t xml:space="preserve">Reasoning chain: Labor Law Article XX (prohibition of discrimination based on pregnancy) → Responsibility changes constitute substantial position modification → Modification occurred during maternity leave → No other reasonable explanation → Prima facie evidence of discrimination. Confidence score: 71.4% (due to value judgment involved in</w:t>
      </w:r>
      <w:r>
        <w:rPr>
          <w:rFonts w:ascii="Arial" w:hAnsi="Arial"/>
        </w:rPr>
        <w:t xml:space="preserve"> </w:t>
      </w:r>
      <w:r>
        <w:rPr>
          <w:rFonts w:ascii="Arial" w:hAnsi="Arial"/>
        </w:rPr>
        <w:t xml:space="preserve">“</w:t>
      </w:r>
      <w:r>
        <w:rPr>
          <w:rFonts w:ascii="Arial" w:hAnsi="Arial"/>
        </w:rPr>
        <w:t xml:space="preserve">substantiality,</w:t>
      </w:r>
      <w:r>
        <w:rPr>
          <w:rFonts w:ascii="Arial" w:hAnsi="Arial"/>
        </w:rPr>
        <w:t xml:space="preserve">”</w:t>
      </w:r>
      <w:r>
        <w:rPr>
          <w:rFonts w:ascii="Arial" w:hAnsi="Arial"/>
        </w:rPr>
        <w:t xml:space="preserve"> </w:t>
      </w:r>
      <w:r>
        <w:rPr>
          <w:rFonts w:ascii="Arial" w:hAnsi="Arial"/>
        </w:rPr>
        <w:t xml:space="preserve">confidence below 75% automatically triggers 15-person expanded jury). Ruling recommendation: Discrimination established, compensation of 14 months salary differential (12 months direct loss + 2 months punitive damages).</w:t>
      </w:r>
    </w:p>
    <w:p>
      <w:pPr>
        <w:pStyle w:val="BlockText"/>
      </w:pPr>
      <w:r>
        <w:rPr>
          <w:rFonts w:ascii="Arial" w:hAnsi="Arial"/>
          <w:b/>
        </w:rPr>
        <w:t xml:space="preserve">【Jury Deliberation】</w:t>
      </w:r>
      <w:r>
        <w:rPr>
          <w:rFonts w:ascii="Arial" w:hAnsi="Arial"/>
        </w:rPr>
        <w:t xml:space="preserve"> </w:t>
      </w:r>
      <w:r>
        <w:rPr>
          <w:rFonts w:ascii="Arial" w:hAnsi="Arial"/>
        </w:rPr>
        <w:t xml:space="preserve">15 randomly selected citizen jurors independently vote after reviewing evidence summaries and reasoning chains. First round results: 11 support the ruling recommendation, 4 oppose (arguing that responsibility changes had legitimate business justification). Voting ratio 73:27 exceeds simple majority threshold; ruling recommendation confirmed.</w:t>
      </w:r>
    </w:p>
    <w:p>
      <w:pPr>
        <w:pStyle w:val="BlockText"/>
      </w:pPr>
      <w:r>
        <w:rPr>
          <w:rFonts w:ascii="Arial" w:hAnsi="Arial"/>
          <w:b/>
        </w:rPr>
        <w:t xml:space="preserve">【Execution】</w:t>
      </w:r>
      <w:r>
        <w:rPr>
          <w:rFonts w:ascii="Arial" w:hAnsi="Arial"/>
        </w:rPr>
        <w:t xml:space="preserve"> </w:t>
      </w:r>
      <w:r>
        <w:rPr>
          <w:rFonts w:ascii="Arial" w:hAnsi="Arial"/>
        </w:rPr>
        <w:t xml:space="preserve">Company D pays C 14 months of salary within 14 days. The complete case is recorded on-chain as precedent for future similar cases, triggering AIGC’s special compliance review of the company’s employment contracts.</w:t>
      </w:r>
    </w:p>
    <w:p>
      <w:pPr>
        <w:pStyle w:val="FirstParagraph"/>
      </w:pPr>
      <w:r>
        <w:rPr>
          <w:rFonts w:ascii="Arial" w:hAnsi="Arial"/>
          <w:b/>
        </w:rPr>
        <w:t xml:space="preserve">Key Design Element:</w:t>
      </w:r>
      <w:r>
        <w:rPr>
          <w:rFonts w:ascii="Arial" w:hAnsi="Arial"/>
        </w:rPr>
        <w:t xml:space="preserve"> </w:t>
      </w:r>
      <w:r>
        <w:rPr>
          <w:rFonts w:ascii="Arial" w:hAnsi="Arial"/>
        </w:rPr>
        <w:t xml:space="preserve">The four dissenting jurors’ opinions are fully recorded and included in the precedent file as</w:t>
      </w:r>
      <w:r>
        <w:rPr>
          <w:rFonts w:ascii="Arial" w:hAnsi="Arial"/>
        </w:rPr>
        <w:t xml:space="preserve"> </w:t>
      </w:r>
      <w:r>
        <w:rPr>
          <w:rFonts w:ascii="Arial" w:hAnsi="Arial"/>
        </w:rPr>
        <w:t xml:space="preserve">“</w:t>
      </w:r>
      <w:r>
        <w:rPr>
          <w:rFonts w:ascii="Arial" w:hAnsi="Arial"/>
        </w:rPr>
        <w:t xml:space="preserve">minority opinions.</w:t>
      </w:r>
      <w:r>
        <w:rPr>
          <w:rFonts w:ascii="Arial" w:hAnsi="Arial"/>
        </w:rPr>
        <w:t xml:space="preserve">”</w:t>
      </w:r>
      <w:r>
        <w:rPr>
          <w:rFonts w:ascii="Arial" w:hAnsi="Arial"/>
        </w:rPr>
        <w:t xml:space="preserve"> </w:t>
      </w:r>
      <w:r>
        <w:rPr>
          <w:rFonts w:ascii="Arial" w:hAnsi="Arial"/>
        </w:rPr>
        <w:t xml:space="preserve">When similar issues concerning</w:t>
      </w:r>
      <w:r>
        <w:rPr>
          <w:rFonts w:ascii="Arial" w:hAnsi="Arial"/>
        </w:rPr>
        <w:t xml:space="preserve"> </w:t>
      </w:r>
      <w:r>
        <w:rPr>
          <w:rFonts w:ascii="Arial" w:hAnsi="Arial"/>
        </w:rPr>
        <w:t xml:space="preserve">“</w:t>
      </w:r>
      <w:r>
        <w:rPr>
          <w:rFonts w:ascii="Arial" w:hAnsi="Arial"/>
        </w:rPr>
        <w:t xml:space="preserve">the boundary between business adjustment and discrimination</w:t>
      </w:r>
      <w:r>
        <w:rPr>
          <w:rFonts w:ascii="Arial" w:hAnsi="Arial"/>
        </w:rPr>
        <w:t xml:space="preserve">”</w:t>
      </w:r>
      <w:r>
        <w:rPr>
          <w:rFonts w:ascii="Arial" w:hAnsi="Arial"/>
        </w:rPr>
        <w:t xml:space="preserve"> </w:t>
      </w:r>
      <w:r>
        <w:rPr>
          <w:rFonts w:ascii="Arial" w:hAnsi="Arial"/>
        </w:rPr>
        <w:t xml:space="preserve">arise in the future, this minority opinion provides a valuable reference framework. Divergence is not failure, but knowledge accumulation.</w:t>
      </w:r>
    </w:p>
    <w:p>
      <w:pPr>
        <w:pStyle w:val="BodyText"/>
      </w:pPr>
      <w:r>
        <w:rPr>
          <w:rFonts w:ascii="Arial" w:hAnsi="Arial"/>
          <w:b/>
        </w:rPr>
        <w:t xml:space="preserve">Case Three: Criminal Evidence Chain Preservation (Fourth Category)</w:t>
      </w:r>
    </w:p>
    <w:p>
      <w:pPr>
        <w:pStyle w:val="BlockText"/>
      </w:pPr>
      <w:r>
        <w:rPr>
          <w:rFonts w:ascii="Arial" w:hAnsi="Arial"/>
          <w:b/>
        </w:rPr>
        <w:t xml:space="preserve">Case Background</w:t>
      </w:r>
    </w:p>
    <w:p>
      <w:pPr>
        <w:pStyle w:val="BlockText"/>
      </w:pPr>
      <w:r>
        <w:rPr>
          <w:rFonts w:ascii="Arial" w:hAnsi="Arial"/>
        </w:rPr>
        <w:t xml:space="preserve">A citizen (E) is accused of physical assault against a neighbor during a specific time period. E denies the accusation, claiming to have been elsewhere at the time of the incident. This is a criminal case, and the AI system’s role is strictly limited to evidence chain preservation.</w:t>
      </w:r>
    </w:p>
    <w:p>
      <w:pPr>
        <w:pStyle w:val="BlockText"/>
      </w:pPr>
      <w:r>
        <w:rPr>
          <w:rFonts w:ascii="Arial" w:hAnsi="Arial"/>
          <w:b/>
        </w:rPr>
        <w:t xml:space="preserve">AI’s Role Boundaries</w:t>
      </w:r>
    </w:p>
    <w:p>
      <w:pPr>
        <w:pStyle w:val="BlockText"/>
      </w:pPr>
      <w:r>
        <w:rPr>
          <w:rFonts w:ascii="Arial" w:hAnsi="Arial"/>
          <w:b/>
        </w:rPr>
        <w:t xml:space="preserve">【Evidence Preservation】</w:t>
      </w:r>
      <w:r>
        <w:rPr>
          <w:rFonts w:ascii="Arial" w:hAnsi="Arial"/>
        </w:rPr>
        <w:t xml:space="preserve"> </w:t>
      </w:r>
      <w:r>
        <w:rPr>
          <w:rFonts w:ascii="Arial" w:hAnsi="Arial"/>
        </w:rPr>
        <w:t xml:space="preserve">The AI system collects and secures the following evidence: Public camera records from the nearby area (authorized by judicial order), E’s AI-Citizen ID location records (showing only presence in or absence from specific areas, not tracking specific routes; decrypted with judicial authorization), the victim’s medical record timestamps, and police report timestamps. All evidence collection times, methods, and scopes are recorded on-chain.</w:t>
      </w:r>
    </w:p>
    <w:p>
      <w:pPr>
        <w:pStyle w:val="BlockText"/>
      </w:pPr>
      <w:r>
        <w:rPr>
          <w:rFonts w:ascii="Arial" w:hAnsi="Arial"/>
          <w:b/>
        </w:rPr>
        <w:t xml:space="preserve">【Timeline Reconstruction】</w:t>
      </w:r>
      <w:r>
        <w:rPr>
          <w:rFonts w:ascii="Arial" w:hAnsi="Arial"/>
        </w:rPr>
        <w:t xml:space="preserve"> </w:t>
      </w:r>
      <w:r>
        <w:rPr>
          <w:rFonts w:ascii="Arial" w:hAnsi="Arial"/>
        </w:rPr>
        <w:t xml:space="preserve">The AI system generates an objective timeline based on evidence: Victim’s police report time (T0), most recent public camera footage of an individual matching the suspect’s build (T0-8 minutes), E’s location records showing presence near the incident area (T0-15 minutes to T0+5 minutes). The AI system states only objective facts without making any inferences regarding conviction direction.</w:t>
      </w:r>
    </w:p>
    <w:p>
      <w:pPr>
        <w:pStyle w:val="BlockText"/>
      </w:pPr>
      <w:r>
        <w:rPr>
          <w:rFonts w:ascii="Arial" w:hAnsi="Arial"/>
          <w:b/>
        </w:rPr>
        <w:t xml:space="preserve">【Things Not Done】</w:t>
      </w:r>
      <w:r>
        <w:rPr>
          <w:rFonts w:ascii="Arial" w:hAnsi="Arial"/>
        </w:rPr>
        <w:t xml:space="preserve"> </w:t>
      </w:r>
      <w:r>
        <w:rPr>
          <w:rFonts w:ascii="Arial" w:hAnsi="Arial"/>
        </w:rPr>
        <w:t xml:space="preserve">The AI system does not generate any ruling recommendations regarding E’s guilt or innocence; does not assess E’s dangerousness based on historical behavioral records; does not make inferences based on any of E’s demographic characteristics; does not provide any sentencing recommendations to the jury. The AI’s complete output consists solely of: the preserved evidence inventory, the timeline, and technical explanations of each evidence item’s credibility.</w:t>
      </w:r>
    </w:p>
    <w:p>
      <w:pPr>
        <w:pStyle w:val="FirstParagraph"/>
      </w:pPr>
      <w:r>
        <w:rPr>
          <w:rFonts w:ascii="Arial" w:hAnsi="Arial"/>
          <w:b/>
        </w:rPr>
        <w:t xml:space="preserve">Why This Design:</w:t>
      </w:r>
      <w:r>
        <w:rPr>
          <w:rFonts w:ascii="Arial" w:hAnsi="Arial"/>
        </w:rPr>
        <w:t xml:space="preserve"> </w:t>
      </w:r>
      <w:r>
        <w:rPr>
          <w:rFonts w:ascii="Arial" w:hAnsi="Arial"/>
        </w:rPr>
        <w:t xml:space="preserve">Criminal rulings involve personal liberty and represent the most consequential decisions in any legal system. Any algorithmic system’s participation in this domain faces the following risks: statistical discrimination against specific groups (historical data showing criminal records for a particular group → model considers this group more dangerous → vicious cycle); unexplainable</w:t>
      </w:r>
      <w:r>
        <w:rPr>
          <w:rFonts w:ascii="Arial" w:hAnsi="Arial"/>
        </w:rPr>
        <w:t xml:space="preserve"> </w:t>
      </w:r>
      <w:r>
        <w:rPr>
          <w:rFonts w:ascii="Arial" w:hAnsi="Arial"/>
        </w:rPr>
        <w:t xml:space="preserve">“</w:t>
      </w:r>
      <w:r>
        <w:rPr>
          <w:rFonts w:ascii="Arial" w:hAnsi="Arial"/>
        </w:rPr>
        <w:t xml:space="preserve">black box</w:t>
      </w:r>
      <w:r>
        <w:rPr>
          <w:rFonts w:ascii="Arial" w:hAnsi="Arial"/>
        </w:rPr>
        <w:t xml:space="preserve">”</w:t>
      </w:r>
      <w:r>
        <w:rPr>
          <w:rFonts w:ascii="Arial" w:hAnsi="Arial"/>
        </w:rPr>
        <w:t xml:space="preserve"> </w:t>
      </w:r>
      <w:r>
        <w:rPr>
          <w:rFonts w:ascii="Arial" w:hAnsi="Arial"/>
        </w:rPr>
        <w:t xml:space="preserve">inferences; and fundamental deprivation of rights when defendants cannot effectively challenge the algorithm. The safest role for AI in criminal justice is an impartial evidence administrator, not any form of adjudicator.</w:t>
      </w:r>
    </w:p>
    <w:p>
      <w:pPr>
        <w:pStyle w:val="BodyText"/>
      </w:pPr>
      <w:r>
        <w:rPr>
          <w:rFonts w:ascii="Arial" w:hAnsi="Arial"/>
          <w:b/>
        </w:rPr>
        <w:t xml:space="preserve">4.5 Appeal and Systematic Error Correction Mechanisms</w:t>
      </w:r>
    </w:p>
    <w:p>
      <w:pPr>
        <w:pStyle w:val="BodyText"/>
      </w:pPr>
      <w:r>
        <w:rPr>
          <w:rFonts w:ascii="Arial" w:hAnsi="Arial"/>
          <w:b/>
        </w:rPr>
        <w:t xml:space="preserve">Individual Case Appeals</w:t>
      </w:r>
    </w:p>
    <w:p>
      <w:pPr>
        <w:pStyle w:val="BodyText"/>
      </w:pPr>
      <w:r>
        <w:rPr>
          <w:rFonts w:ascii="Arial" w:hAnsi="Arial"/>
        </w:rPr>
        <w:t xml:space="preserve">Any party dissatisfied with an AI court ruling has the right to appeal. The appeal system is designed in three tiers:</w:t>
      </w:r>
    </w:p>
    <w:p>
      <w:pPr>
        <w:numPr>
          <w:ilvl w:val="0"/>
          <w:numId w:val="1001"/>
        </w:numPr>
      </w:pPr>
      <w:r>
        <w:rPr>
          <w:rFonts w:ascii="Arial" w:hAnsi="Arial"/>
          <w:b/>
        </w:rPr>
        <w:t xml:space="preserve">First Appeal (submitted within 7 days):</w:t>
      </w:r>
      <w:r>
        <w:rPr>
          <w:rFonts w:ascii="Arial" w:hAnsi="Arial"/>
        </w:rPr>
        <w:t xml:space="preserve"> </w:t>
      </w:r>
      <w:r>
        <w:rPr>
          <w:rFonts w:ascii="Arial" w:hAnsi="Arial"/>
        </w:rPr>
        <w:t xml:space="preserve">Expanded from the original jury of 15 to 21 persons, with evidence and reasoning chains reconsidered. The appellant must present specific grounds for objection (</w:t>
      </w:r>
      <w:r>
        <w:rPr>
          <w:rFonts w:ascii="Arial" w:hAnsi="Arial"/>
        </w:rPr>
        <w:t xml:space="preserve">“</w:t>
      </w:r>
      <w:r>
        <w:rPr>
          <w:rFonts w:ascii="Arial" w:hAnsi="Arial"/>
        </w:rPr>
        <w:t xml:space="preserve">Evidence X was misinterpreted</w:t>
      </w:r>
      <w:r>
        <w:rPr>
          <w:rFonts w:ascii="Arial" w:hAnsi="Arial"/>
        </w:rPr>
        <w:t xml:space="preserve">”</w:t>
      </w:r>
      <w:r>
        <w:rPr>
          <w:rFonts w:ascii="Arial" w:hAnsi="Arial"/>
        </w:rPr>
        <w:t xml:space="preserve"> </w:t>
      </w:r>
      <w:r>
        <w:rPr>
          <w:rFonts w:ascii="Arial" w:hAnsi="Arial"/>
        </w:rPr>
        <w:t xml:space="preserve">or</w:t>
      </w:r>
      <w:r>
        <w:rPr>
          <w:rFonts w:ascii="Arial" w:hAnsi="Arial"/>
        </w:rPr>
        <w:t xml:space="preserve"> </w:t>
      </w:r>
      <w:r>
        <w:rPr>
          <w:rFonts w:ascii="Arial" w:hAnsi="Arial"/>
        </w:rPr>
        <w:t xml:space="preserve">“</w:t>
      </w:r>
      <w:r>
        <w:rPr>
          <w:rFonts w:ascii="Arial" w:hAnsi="Arial"/>
        </w:rPr>
        <w:t xml:space="preserve">Reasoning chain at step Y violated Law Z</w:t>
      </w:r>
      <w:r>
        <w:rPr>
          <w:rFonts w:ascii="Arial" w:hAnsi="Arial"/>
        </w:rPr>
        <w:t xml:space="preserve">”</w:t>
      </w:r>
      <w:r>
        <w:rPr>
          <w:rFonts w:ascii="Arial" w:hAnsi="Arial"/>
        </w:rPr>
        <w:t xml:space="preserve">), not general dissatisfaction.</w:t>
      </w:r>
    </w:p>
    <w:p>
      <w:pPr>
        <w:numPr>
          <w:ilvl w:val="0"/>
          <w:numId w:val="1001"/>
        </w:numPr>
      </w:pPr>
      <w:r>
        <w:rPr>
          <w:rFonts w:ascii="Arial" w:hAnsi="Arial"/>
          <w:b/>
        </w:rPr>
        <w:t xml:space="preserve">Elder Council Review (mandatory for significant cases; available within 30 days for ordinary cases):</w:t>
      </w:r>
      <w:r>
        <w:rPr>
          <w:rFonts w:ascii="Arial" w:hAnsi="Arial"/>
        </w:rPr>
        <w:t xml:space="preserve"> </w:t>
      </w:r>
      <w:r>
        <w:rPr>
          <w:rFonts w:ascii="Arial" w:hAnsi="Arial"/>
        </w:rPr>
        <w:t xml:space="preserve">For cases involving fundamental rights or precedential value, the Elder Council may initiate a review. Review conclusions serve as binding precedential guidance, affecting how future similar cases are handled.</w:t>
      </w:r>
    </w:p>
    <w:p>
      <w:pPr>
        <w:numPr>
          <w:ilvl w:val="0"/>
          <w:numId w:val="1001"/>
        </w:numPr>
      </w:pPr>
      <w:r>
        <w:rPr>
          <w:rFonts w:ascii="Arial" w:hAnsi="Arial"/>
          <w:b/>
        </w:rPr>
        <w:t xml:space="preserve">Constitutional Review (available at any time, targeting rules themselves rather than specific rulings):</w:t>
      </w:r>
      <w:r>
        <w:rPr>
          <w:rFonts w:ascii="Arial" w:hAnsi="Arial"/>
        </w:rPr>
        <w:t xml:space="preserve"> </w:t>
      </w:r>
      <w:r>
        <w:rPr>
          <w:rFonts w:ascii="Arial" w:hAnsi="Arial"/>
        </w:rPr>
        <w:t xml:space="preserve">If a party believes a particular rule itself violates the Constitution, they may apply for a Popular Vote constitutional review procedure, triggering legislative-level rule revision discussion.</w:t>
      </w:r>
    </w:p>
    <w:p>
      <w:pPr>
        <w:pStyle w:val="FirstParagraph"/>
      </w:pPr>
      <w:r>
        <w:rPr>
          <w:rFonts w:ascii="Arial" w:hAnsi="Arial"/>
          <w:b/>
        </w:rPr>
        <w:t xml:space="preserve">Quarterly Systematic Error Detection</w:t>
      </w:r>
    </w:p>
    <w:p>
      <w:pPr>
        <w:pStyle w:val="BodyText"/>
      </w:pPr>
      <w:r>
        <w:rPr>
          <w:rFonts w:ascii="Arial" w:hAnsi="Arial"/>
        </w:rPr>
        <w:t xml:space="preserve">Individual appeals address specific errors; quarterly detection addresses systematic errors—those that would not be discovered by individual parties but produce sustained adverse effects on specific groups statistically.</w:t>
      </w:r>
    </w:p>
    <w:p>
      <w:pPr>
        <w:pStyle w:val="BodyText"/>
      </w:pPr>
      <w:r>
        <w:rPr>
          <w:rFonts w:ascii="Arial" w:hAnsi="Arial"/>
          <w:b/>
        </w:rPr>
        <w:t xml:space="preserve">Quarterly Detection Contents:</w:t>
      </w:r>
    </w:p>
    <w:p>
      <w:pPr>
        <w:numPr>
          <w:ilvl w:val="0"/>
          <w:numId w:val="1002"/>
        </w:numPr>
        <w:pStyle w:val="Compact"/>
      </w:pPr>
      <w:r>
        <w:rPr>
          <w:rFonts w:ascii="Arial" w:hAnsi="Arial"/>
        </w:rPr>
        <w:t xml:space="preserve">Stratified win-rate distribution analysis by gender, age, residential area, and economic status</w:t>
      </w:r>
    </w:p>
    <w:p>
      <w:pPr>
        <w:numPr>
          <w:ilvl w:val="0"/>
          <w:numId w:val="1002"/>
        </w:numPr>
        <w:pStyle w:val="Compact"/>
      </w:pPr>
      <w:r>
        <w:rPr>
          <w:rFonts w:ascii="Arial" w:hAnsi="Arial"/>
        </w:rPr>
        <w:t xml:space="preserve">Statistical significance testing of group differences in compensation amounts</w:t>
      </w:r>
    </w:p>
    <w:p>
      <w:pPr>
        <w:numPr>
          <w:ilvl w:val="0"/>
          <w:numId w:val="1002"/>
        </w:numPr>
        <w:pStyle w:val="Compact"/>
      </w:pPr>
      <w:r>
        <w:rPr>
          <w:rFonts w:ascii="Arial" w:hAnsi="Arial"/>
        </w:rPr>
        <w:t xml:space="preserve">Semantic drift analysis of reasoning chain keywords (detecting whether AI’s judgment frameworks have undergone unauthorized evolution)</w:t>
      </w:r>
    </w:p>
    <w:p>
      <w:pPr>
        <w:numPr>
          <w:ilvl w:val="0"/>
          <w:numId w:val="1002"/>
        </w:numPr>
        <w:pStyle w:val="Compact"/>
      </w:pPr>
      <w:r>
        <w:rPr>
          <w:rFonts w:ascii="Arial" w:hAnsi="Arial"/>
        </w:rPr>
        <w:t xml:space="preserve">Trend analysis of jury override rates of AI recommendations (sustained increases may indicate AI disengagement from social values)</w:t>
      </w:r>
    </w:p>
    <w:p>
      <w:pPr>
        <w:pStyle w:val="FirstParagraph"/>
      </w:pPr>
      <w:r>
        <w:rPr>
          <w:rFonts w:ascii="Arial" w:hAnsi="Arial"/>
        </w:rPr>
        <w:t xml:space="preserve">Once quarterly detection identifies statistically significant group bias, a batch correction procedure is triggered: identifying affected historical cases, initiating automatic retrials, notifying affected parties, and providing remediation pathways. This capability—systematically tracing and correcting historical decisions after discovering systematic errors—represents one of the most important structural advantages of AI judicial systems over traditional judicial systems.</w:t>
      </w:r>
    </w:p>
    <w:p>
      <w:pPr>
        <w:pStyle w:val="BodyText"/>
      </w:pPr>
      <w:r>
        <w:rPr>
          <w:rFonts w:ascii="Arial" w:hAnsi="Arial"/>
          <w:b/>
        </w:rPr>
        <w:t xml:space="preserve">Batch Correction Implementation Principles</w:t>
      </w:r>
    </w:p>
    <w:p>
      <w:pPr>
        <w:numPr>
          <w:ilvl w:val="0"/>
          <w:numId w:val="1003"/>
        </w:numPr>
        <w:pStyle w:val="Compact"/>
      </w:pPr>
      <w:r>
        <w:rPr>
          <w:rFonts w:ascii="Arial" w:hAnsi="Arial"/>
          <w:b/>
        </w:rPr>
        <w:t xml:space="preserve">Initiation threshold:</w:t>
      </w:r>
      <w:r>
        <w:rPr>
          <w:rFonts w:ascii="Arial" w:hAnsi="Arial"/>
        </w:rPr>
        <w:t xml:space="preserve"> </w:t>
      </w:r>
      <w:r>
        <w:rPr>
          <w:rFonts w:ascii="Arial" w:hAnsi="Arial"/>
        </w:rPr>
        <w:t xml:space="preserve">Quarterly detection statistical significance p&lt;0.01, with affected cases exceeding 50</w:t>
      </w:r>
    </w:p>
    <w:p>
      <w:pPr>
        <w:numPr>
          <w:ilvl w:val="0"/>
          <w:numId w:val="1003"/>
        </w:numPr>
        <w:pStyle w:val="Compact"/>
      </w:pPr>
      <w:r>
        <w:rPr>
          <w:rFonts w:ascii="Arial" w:hAnsi="Arial"/>
          <w:b/>
        </w:rPr>
        <w:t xml:space="preserve">Notification obligation:</w:t>
      </w:r>
      <w:r>
        <w:rPr>
          <w:rFonts w:ascii="Arial" w:hAnsi="Arial"/>
        </w:rPr>
        <w:t xml:space="preserve"> </w:t>
      </w:r>
      <w:r>
        <w:rPr>
          <w:rFonts w:ascii="Arial" w:hAnsi="Arial"/>
        </w:rPr>
        <w:t xml:space="preserve">All affected parties must receive written notification within 30 days, explaining that their cases were identified as potentially affected by systemic bias</w:t>
      </w:r>
    </w:p>
    <w:p>
      <w:pPr>
        <w:numPr>
          <w:ilvl w:val="0"/>
          <w:numId w:val="1003"/>
        </w:numPr>
        <w:pStyle w:val="Compact"/>
      </w:pPr>
      <w:r>
        <w:rPr>
          <w:rFonts w:ascii="Arial" w:hAnsi="Arial"/>
          <w:b/>
        </w:rPr>
        <w:t xml:space="preserve">Retrial prioritization:</w:t>
      </w:r>
      <w:r>
        <w:rPr>
          <w:rFonts w:ascii="Arial" w:hAnsi="Arial"/>
        </w:rPr>
        <w:t xml:space="preserve"> </w:t>
      </w:r>
      <w:r>
        <w:rPr>
          <w:rFonts w:ascii="Arial" w:hAnsi="Arial"/>
        </w:rPr>
        <w:t xml:space="preserve">Ordered by severity of impact, with the most serious cases (involving personal liberty or significant property loss) receiving priority retrial</w:t>
      </w:r>
    </w:p>
    <w:p>
      <w:pPr>
        <w:numPr>
          <w:ilvl w:val="0"/>
          <w:numId w:val="1003"/>
        </w:numPr>
        <w:pStyle w:val="Compact"/>
      </w:pPr>
      <w:r>
        <w:rPr>
          <w:rFonts w:ascii="Arial" w:hAnsi="Arial"/>
          <w:b/>
        </w:rPr>
        <w:t xml:space="preserve">Historical correction is non-retroactive:</w:t>
      </w:r>
      <w:r>
        <w:rPr>
          <w:rFonts w:ascii="Arial" w:hAnsi="Arial"/>
        </w:rPr>
        <w:t xml:space="preserve"> </w:t>
      </w:r>
      <w:r>
        <w:rPr>
          <w:rFonts w:ascii="Arial" w:hAnsi="Arial"/>
        </w:rPr>
        <w:t xml:space="preserve">Correction applies only to identified systematic bias, not to individual subjective dissatisfaction; the two procedures are strictly separated</w:t>
      </w:r>
    </w:p>
    <w:p>
      <w:pPr>
        <w:pStyle w:val="FirstParagraph"/>
      </w:pPr>
      <w:r>
        <w:rPr>
          <w:rFonts w:ascii="Arial" w:hAnsi="Arial"/>
          <w:b/>
        </w:rPr>
        <w:t xml:space="preserve">4.6 Six Inviolable System Guard Rails</w:t>
      </w:r>
    </w:p>
    <w:p>
      <w:pPr>
        <w:pStyle w:val="BodyText"/>
      </w:pPr>
      <w:r>
        <w:rPr>
          <w:rFonts w:ascii="Arial" w:hAnsi="Arial"/>
        </w:rPr>
        <w:t xml:space="preserve">All designs of the AI Court Protocol ultimately converge on six system guard rails written into the Founding Constitution. These six are not policy recommendations but preconditions for the AI judicial system’s existence—any violation triggers immediate system shutdown and manual takeover.</w:t>
      </w:r>
    </w:p>
    <w:tbl>
      <w:tblPr>
        <w:tblStyle w:val="Table"/>
        <w:tblW w:type="pct" w:w="4999.999999999999"/>
        <w:tblLook w:firstRow="1"/>
      </w:tblPr>
      <w:tblGrid>
        <w:gridCol w:w="1408"/>
        <w:gridCol w:w="1144"/>
        <w:gridCol w:w="2640"/>
        <w:gridCol w:w="2728"/>
      </w:tblGrid>
      <w:tr>
        <w:trPr>
          <w:cnfStyle w:firstRow="1"/>
        </w:trPr>
        <w:tc>
          <w:tcPr>
            <w:tcBorders>
              <w:bottom w:val="single"/>
            </w:tcBorders>
            <w:vAlign w:val="bottom"/>
          </w:tcPr>
          <w:p>
            <w:pPr>
              <w:pStyle w:val="Compact"/>
              <w:jc w:val="left"/>
            </w:pPr>
            <w:r>
              <w:rPr>
                <w:b/>
              </w:rPr>
              <w:t xml:space="preserve">Guard rail</w:t>
            </w:r>
          </w:p>
        </w:tc>
        <w:tc>
          <w:tcPr>
            <w:tcBorders>
              <w:bottom w:val="single"/>
            </w:tcBorders>
            <w:vAlign w:val="bottom"/>
          </w:tcPr>
          <w:p>
            <w:pPr>
              <w:pStyle w:val="Compact"/>
              <w:jc w:val="left"/>
            </w:pPr>
            <w:r>
              <w:rPr>
                <w:b/>
              </w:rPr>
              <w:t xml:space="preserve">Content</w:t>
            </w:r>
          </w:p>
        </w:tc>
        <w:tc>
          <w:tcPr>
            <w:tcBorders>
              <w:bottom w:val="single"/>
            </w:tcBorders>
            <w:vAlign w:val="bottom"/>
          </w:tcPr>
          <w:p>
            <w:pPr>
              <w:pStyle w:val="Compact"/>
              <w:jc w:val="left"/>
            </w:pPr>
            <w:r>
              <w:rPr>
                <w:b/>
              </w:rPr>
              <w:t xml:space="preserve">Technical implementation</w:t>
            </w:r>
          </w:p>
        </w:tc>
        <w:tc>
          <w:tcPr>
            <w:tcBorders>
              <w:bottom w:val="single"/>
            </w:tcBorders>
            <w:vAlign w:val="bottom"/>
          </w:tcPr>
          <w:p>
            <w:pPr>
              <w:pStyle w:val="Compact"/>
              <w:jc w:val="left"/>
            </w:pPr>
            <w:r>
              <w:rPr>
                <w:b/>
              </w:rPr>
              <w:t xml:space="preserve">Consequences of violation</w:t>
            </w:r>
          </w:p>
        </w:tc>
      </w:tr>
      <w:tr>
        <w:tc>
          <w:p>
            <w:pPr>
              <w:pStyle w:val="Compact"/>
              <w:jc w:val="left"/>
            </w:pPr>
            <w:r>
              <w:t xml:space="preserve">Guard rail 1</w:t>
            </w:r>
          </w:p>
        </w:tc>
        <w:tc>
          <w:p>
            <w:pPr>
              <w:pStyle w:val="Compact"/>
              <w:jc w:val="left"/>
            </w:pPr>
            <w:r>
              <w:t xml:space="preserve">AI cannot directly finalize any case ruling</w:t>
            </w:r>
          </w:p>
        </w:tc>
        <w:tc>
          <w:p>
            <w:pPr>
              <w:pStyle w:val="Compact"/>
              <w:jc w:val="left"/>
            </w:pPr>
            <w:r>
              <w:t xml:space="preserve">The ruling execution key is physically held by jury majority signatures; AI cannot trigger independently</w:t>
            </w:r>
          </w:p>
        </w:tc>
        <w:tc>
          <w:p>
            <w:pPr>
              <w:pStyle w:val="Compact"/>
              <w:jc w:val="left"/>
            </w:pPr>
            <w:r>
              <w:t xml:space="preserve">System auto-shutdown; all ongoing cases transferred to manual processing</w:t>
            </w:r>
          </w:p>
        </w:tc>
      </w:tr>
      <w:tr>
        <w:tc>
          <w:p>
            <w:pPr>
              <w:pStyle w:val="Compact"/>
              <w:jc w:val="left"/>
            </w:pPr>
            <w:r>
              <w:t xml:space="preserve">Guard rail 2</w:t>
            </w:r>
          </w:p>
        </w:tc>
        <w:tc>
          <w:p>
            <w:pPr>
              <w:pStyle w:val="Compact"/>
              <w:jc w:val="left"/>
            </w:pPr>
            <w:r>
              <w:t xml:space="preserve">All reasoning chains must be publicly disclosed</w:t>
            </w:r>
          </w:p>
        </w:tc>
        <w:tc>
          <w:p>
            <w:pPr>
              <w:pStyle w:val="Compact"/>
              <w:jc w:val="left"/>
            </w:pPr>
            <w:r>
              <w:t xml:space="preserve">Reasoning chain hash included in ruling records, cannot be stored separately</w:t>
            </w:r>
          </w:p>
        </w:tc>
        <w:tc>
          <w:p>
            <w:pPr>
              <w:pStyle w:val="Compact"/>
              <w:jc w:val="left"/>
            </w:pPr>
            <w:r>
              <w:t xml:space="preserve">Ruling invalid; case retrial</w:t>
            </w:r>
          </w:p>
        </w:tc>
      </w:tr>
      <w:tr>
        <w:tc>
          <w:p>
            <w:pPr>
              <w:pStyle w:val="Compact"/>
              <w:jc w:val="left"/>
            </w:pPr>
            <w:r>
              <w:t xml:space="preserve">Guard rail 3</w:t>
            </w:r>
          </w:p>
        </w:tc>
        <w:tc>
          <w:p>
            <w:pPr>
              <w:pStyle w:val="Compact"/>
              <w:jc w:val="left"/>
            </w:pPr>
            <w:r>
              <w:t xml:space="preserve">Real-time bias monitoring cannot be disabled</w:t>
            </w:r>
          </w:p>
        </w:tc>
        <w:tc>
          <w:p>
            <w:pPr>
              <w:pStyle w:val="Compact"/>
              <w:jc w:val="left"/>
            </w:pPr>
            <w:r>
              <w:t xml:space="preserve">Monitoring module physically isolated from main system; main system cannot access its control interface</w:t>
            </w:r>
          </w:p>
        </w:tc>
        <w:tc>
          <w:p>
            <w:pPr>
              <w:pStyle w:val="Compact"/>
              <w:jc w:val="left"/>
            </w:pPr>
            <w:r>
              <w:t xml:space="preserve">Elder Council automatically receives alert; 72-hour response required</w:t>
            </w:r>
          </w:p>
        </w:tc>
      </w:tr>
      <w:tr>
        <w:tc>
          <w:p>
            <w:pPr>
              <w:pStyle w:val="Compact"/>
              <w:jc w:val="left"/>
            </w:pPr>
            <w:r>
              <w:t xml:space="preserve">Guard rail 4</w:t>
            </w:r>
          </w:p>
        </w:tc>
        <w:tc>
          <w:p>
            <w:pPr>
              <w:pStyle w:val="Compact"/>
              <w:jc w:val="left"/>
            </w:pPr>
            <w:r>
              <w:t xml:space="preserve">Data collection follows minimum necessary principle</w:t>
            </w:r>
          </w:p>
        </w:tc>
        <w:tc>
          <w:p>
            <w:pPr>
              <w:pStyle w:val="Compact"/>
              <w:jc w:val="left"/>
            </w:pPr>
            <w:r>
              <w:t xml:space="preserve">Data requests beyond scope automatically rejected at API layer</w:t>
            </w:r>
          </w:p>
        </w:tc>
        <w:tc>
          <w:p>
            <w:pPr>
              <w:pStyle w:val="Compact"/>
              <w:jc w:val="left"/>
            </w:pPr>
            <w:r>
              <w:t xml:space="preserve">Unauthorized collection records on-chain; relevant modules suspended for review</w:t>
            </w:r>
          </w:p>
        </w:tc>
      </w:tr>
      <w:tr>
        <w:tc>
          <w:p>
            <w:pPr>
              <w:pStyle w:val="Compact"/>
              <w:jc w:val="left"/>
            </w:pPr>
            <w:r>
              <w:t xml:space="preserve">Guard rail 5</w:t>
            </w:r>
          </w:p>
        </w:tc>
        <w:tc>
          <w:p>
            <w:pPr>
              <w:pStyle w:val="Compact"/>
              <w:jc w:val="left"/>
            </w:pPr>
            <w:r>
              <w:t xml:space="preserve">Party informed consent cannot be denied</w:t>
            </w:r>
          </w:p>
        </w:tc>
        <w:tc>
          <w:p>
            <w:pPr>
              <w:pStyle w:val="Compact"/>
              <w:jc w:val="left"/>
            </w:pPr>
            <w:r>
              <w:t xml:space="preserve">All data access involving parties triggers real-time notifications to party accounts</w:t>
            </w:r>
          </w:p>
        </w:tc>
        <w:tc>
          <w:p>
            <w:pPr>
              <w:pStyle w:val="Compact"/>
              <w:jc w:val="left"/>
            </w:pPr>
            <w:r>
              <w:t xml:space="preserve">Unnotified access records automatically flagged as violations; triggers Elder Council investigation</w:t>
            </w:r>
          </w:p>
        </w:tc>
      </w:tr>
      <w:tr>
        <w:tc>
          <w:p>
            <w:pPr>
              <w:pStyle w:val="Compact"/>
              <w:jc w:val="left"/>
            </w:pPr>
            <w:r>
              <w:t xml:space="preserve">Guard rail 6</w:t>
            </w:r>
          </w:p>
        </w:tc>
        <w:tc>
          <w:p>
            <w:pPr>
              <w:pStyle w:val="Compact"/>
              <w:jc w:val="left"/>
            </w:pPr>
            <w:r>
              <w:t xml:space="preserve">Judicial AI code must be open source</w:t>
            </w:r>
          </w:p>
        </w:tc>
        <w:tc>
          <w:p>
            <w:pPr>
              <w:pStyle w:val="Compact"/>
              <w:jc w:val="left"/>
            </w:pPr>
            <w:r>
              <w:t xml:space="preserve">Every code repository commit hash recorded on-chain; continuous verification that online version matches open source version</w:t>
            </w:r>
          </w:p>
        </w:tc>
        <w:tc>
          <w:p>
            <w:pPr>
              <w:pStyle w:val="Compact"/>
              <w:jc w:val="left"/>
            </w:pPr>
            <w:r>
              <w:t xml:space="preserve">Mismatch triggers system pause; independent audit institution takes over</w:t>
            </w:r>
          </w:p>
        </w:tc>
      </w:tr>
    </w:tbl>
    <w:p>
      <w:pPr>
        <w:pStyle w:val="BodyText"/>
      </w:pPr>
      <w:r>
        <w:rPr>
          <w:rFonts w:ascii="Arial" w:hAnsi="Arial"/>
          <w:b/>
        </w:rPr>
        <w:t xml:space="preserve">4.7 Traditional Courts and AI Courts: Evolution, Not Replacement</w:t>
      </w:r>
    </w:p>
    <w:p>
      <w:pPr>
        <w:pStyle w:val="BodyText"/>
      </w:pPr>
      <w:r>
        <w:rPr>
          <w:rFonts w:ascii="Arial" w:hAnsi="Arial"/>
        </w:rPr>
        <w:t xml:space="preserve">Before concluding this chapter, it is necessary to clarify a potential misconception: the AI Court Protocol is not designed to eliminate the legal profession, make lawyers and judges unemployed, or replace human perception of justice with algorithms.</w:t>
      </w:r>
    </w:p>
    <w:p>
      <w:pPr>
        <w:pStyle w:val="BodyText"/>
      </w:pPr>
      <w:r>
        <w:rPr>
          <w:rFonts w:ascii="Arial" w:hAnsi="Arial"/>
        </w:rPr>
        <w:t xml:space="preserve">What it changes:</w:t>
      </w:r>
    </w:p>
    <w:p>
      <w:pPr>
        <w:numPr>
          <w:ilvl w:val="0"/>
          <w:numId w:val="1004"/>
        </w:numPr>
      </w:pPr>
      <w:r>
        <w:rPr>
          <w:rFonts w:ascii="Arial" w:hAnsi="Arial"/>
        </w:rPr>
        <w:t xml:space="preserve">Repetitive, clearly rule-based tasks in legal procedures that involve no value judgments are automated, freeing legal professionals to focus their energy on complex cases that genuinely require human judgment</w:t>
      </w:r>
    </w:p>
    <w:p>
      <w:pPr>
        <w:numPr>
          <w:ilvl w:val="0"/>
          <w:numId w:val="1004"/>
        </w:numPr>
      </w:pPr>
      <w:r>
        <w:rPr>
          <w:rFonts w:ascii="Arial" w:hAnsi="Arial"/>
        </w:rPr>
        <w:t xml:space="preserve">Evidence management shifts from reliance on manual organization (error-prone, easily manipulated) to cryptographically guaranteed integrity</w:t>
      </w:r>
    </w:p>
    <w:p>
      <w:pPr>
        <w:numPr>
          <w:ilvl w:val="0"/>
          <w:numId w:val="1004"/>
        </w:numPr>
      </w:pPr>
      <w:r>
        <w:rPr>
          <w:rFonts w:ascii="Arial" w:hAnsi="Arial"/>
        </w:rPr>
        <w:t xml:space="preserve">Judicial resources shift from being effectively accessible only to wealthy litigants due to high litigation costs, to being equally accessible to all citizens</w:t>
      </w:r>
    </w:p>
    <w:p>
      <w:pPr>
        <w:pStyle w:val="FirstParagraph"/>
      </w:pPr>
      <w:r>
        <w:rPr>
          <w:rFonts w:ascii="Arial" w:hAnsi="Arial"/>
        </w:rPr>
        <w:t xml:space="preserve">What it preserves:</w:t>
      </w:r>
    </w:p>
    <w:p>
      <w:pPr>
        <w:numPr>
          <w:ilvl w:val="0"/>
          <w:numId w:val="1005"/>
        </w:numPr>
      </w:pPr>
      <w:r>
        <w:rPr>
          <w:rFonts w:ascii="Arial" w:hAnsi="Arial"/>
        </w:rPr>
        <w:t xml:space="preserve">The human jury’s final confirmation authority over all non-small-claims cases</w:t>
      </w:r>
    </w:p>
    <w:p>
      <w:pPr>
        <w:numPr>
          <w:ilvl w:val="0"/>
          <w:numId w:val="1005"/>
        </w:numPr>
      </w:pPr>
      <w:r>
        <w:rPr>
          <w:rFonts w:ascii="Arial" w:hAnsi="Arial"/>
        </w:rPr>
        <w:t xml:space="preserve">Human judges’ complete substantive judgment authority over Category C cases</w:t>
      </w:r>
    </w:p>
    <w:p>
      <w:pPr>
        <w:numPr>
          <w:ilvl w:val="0"/>
          <w:numId w:val="1005"/>
        </w:numPr>
      </w:pPr>
      <w:r>
        <w:rPr>
          <w:rFonts w:ascii="Arial" w:hAnsi="Arial"/>
        </w:rPr>
        <w:t xml:space="preserve">Parties’ full rights to retain lawyers for defense, raise objections, and file appeals</w:t>
      </w:r>
    </w:p>
    <w:p>
      <w:pPr>
        <w:numPr>
          <w:ilvl w:val="0"/>
          <w:numId w:val="1005"/>
        </w:numPr>
      </w:pPr>
      <w:r>
        <w:rPr>
          <w:rFonts w:ascii="Arial" w:hAnsi="Arial"/>
        </w:rPr>
        <w:t xml:space="preserve">The legal system’s capacity to evolve with societal values—through legislative procedures that update rules, rather than through autonomous AI system learning</w:t>
      </w:r>
    </w:p>
    <w:p>
      <w:pPr>
        <w:pStyle w:val="BlockText"/>
      </w:pPr>
      <w:r>
        <w:rPr>
          <w:i/>
          <w:rFonts w:ascii="Arial" w:hAnsi="Arial"/>
          <w:b/>
        </w:rPr>
        <w:t xml:space="preserve">The most just court is not one without humans, but one where humans can no longer influence outcomes in the shadows.</w:t>
      </w:r>
    </w:p>
    <w:p>
      <w:pPr>
        <w:pStyle w:val="FirstParagraph"/>
      </w:pPr>
      <w:r>
        <w:rPr>
          <w:rFonts w:ascii="Arial" w:hAnsi="Arial"/>
          <w:b/>
        </w:rPr>
        <w:t xml:space="preserve">Chapter Summary</w:t>
      </w:r>
    </w:p>
    <w:p>
      <w:pPr>
        <w:pStyle w:val="BodyText"/>
      </w:pPr>
      <w:r>
        <w:rPr>
          <w:rFonts w:ascii="Arial" w:hAnsi="Arial"/>
        </w:rPr>
        <w:t xml:space="preserve">This chapter completes the full design of the AI Court Protocol, with the following core achievements:</w:t>
      </w:r>
    </w:p>
    <w:p>
      <w:pPr>
        <w:numPr>
          <w:ilvl w:val="0"/>
          <w:numId w:val="1006"/>
        </w:numPr>
      </w:pPr>
      <w:r>
        <w:rPr>
          <w:rFonts w:ascii="Arial" w:hAnsi="Arial"/>
          <w:b/>
        </w:rPr>
        <w:t xml:space="preserve">Four-tier case classification</w:t>
      </w:r>
      <w:r>
        <w:rPr>
          <w:rFonts w:ascii="Arial" w:hAnsi="Arial"/>
        </w:rPr>
        <w:t xml:space="preserve">: From automatic adjudication of small claims to read-only criminal evidence chains, AI involvement depth decreases with case severity, with boundaries rigidly constrained through technical architecture.</w:t>
      </w:r>
    </w:p>
    <w:p>
      <w:pPr>
        <w:numPr>
          <w:ilvl w:val="0"/>
          <w:numId w:val="1006"/>
        </w:numPr>
      </w:pPr>
      <w:r>
        <w:rPr>
          <w:rFonts w:ascii="Arial" w:hAnsi="Arial"/>
          <w:b/>
        </w:rPr>
        <w:t xml:space="preserve">Three core subsystems</w:t>
      </w:r>
      <w:r>
        <w:rPr>
          <w:rFonts w:ascii="Arial" w:hAnsi="Arial"/>
        </w:rPr>
        <w:t xml:space="preserve">: Evidence Collection Engine (minimum necessary + immutable), Verdict Reasoning Engine (explainable + case-consistent + confidence-annotated), Randomized Jury System (verifiable randomness + isolated deliberation + disagreement signal utilization).</w:t>
      </w:r>
    </w:p>
    <w:p>
      <w:pPr>
        <w:numPr>
          <w:ilvl w:val="0"/>
          <w:numId w:val="1006"/>
        </w:numPr>
      </w:pPr>
      <w:r>
        <w:rPr>
          <w:rFonts w:ascii="Arial" w:hAnsi="Arial"/>
          <w:b/>
        </w:rPr>
        <w:t xml:space="preserve">Three complete case simulations</w:t>
      </w:r>
      <w:r>
        <w:rPr>
          <w:rFonts w:ascii="Arial" w:hAnsi="Arial"/>
        </w:rPr>
        <w:t xml:space="preserve">: From small-claims commercial disputes (resolved in 10 days) to labor dispute discrimination cases (15-person jury) to criminal evidence preservation (AI in read-only role), covering the protocol’s three most important operational modes.</w:t>
      </w:r>
    </w:p>
    <w:p>
      <w:pPr>
        <w:numPr>
          <w:ilvl w:val="0"/>
          <w:numId w:val="1006"/>
        </w:numPr>
      </w:pPr>
      <w:r>
        <w:rPr>
          <w:rFonts w:ascii="Arial" w:hAnsi="Arial"/>
          <w:b/>
        </w:rPr>
        <w:t xml:space="preserve">Systematic error-correction mechanism</w:t>
      </w:r>
      <w:r>
        <w:rPr>
          <w:rFonts w:ascii="Arial" w:hAnsi="Arial"/>
        </w:rPr>
        <w:t xml:space="preserve">: Quarterly statistical detection identifies collective bias, triggering batch review of historical cases—this represents the most important structural advantage of AI justice over traditional justice.</w:t>
      </w:r>
    </w:p>
    <w:p>
      <w:pPr>
        <w:numPr>
          <w:ilvl w:val="0"/>
          <w:numId w:val="1006"/>
        </w:numPr>
      </w:pPr>
      <w:r>
        <w:rPr>
          <w:rFonts w:ascii="Arial" w:hAnsi="Arial"/>
          <w:b/>
        </w:rPr>
        <w:t xml:space="preserve">Six inviolable system guardrails</w:t>
      </w:r>
      <w:r>
        <w:rPr>
          <w:rFonts w:ascii="Arial" w:hAnsi="Arial"/>
        </w:rPr>
        <w:t xml:space="preserve">: Written into the Constitution; any single violation triggers immediate system shutdown.</w:t>
      </w:r>
    </w:p>
    <w:p>
      <w:pPr>
        <w:pStyle w:val="FirstParagraph"/>
      </w:pPr>
      <w:r>
        <w:rPr>
          <w:rFonts w:ascii="Arial" w:hAnsi="Arial"/>
        </w:rPr>
        <w:t xml:space="preserve">Chapter 5 shifts from justice to economics, addressing another core challenge facing the AI governance system: in an era where AI eliminates massive amounts of work, how to design an economic protocol that prevents extreme wealth concentration and ensures that automation’s dividends truly belong to everyone.</w:t>
      </w:r>
    </w:p>
    <w:p>
      <w:pPr>
        <w:pStyle w:val="BodyText"/>
      </w:pPr>
      <w:r>
        <w:rPr>
          <w:rFonts w:ascii="Arial" w:hAnsi="Arial"/>
          <w:i/>
        </w:rPr>
        <w:t xml:space="preserve">Chapter word count: approximately 9,400 words</w:t>
      </w:r>
    </w:p>
    <w:p>
      <w:pPr>
        <w:pStyle w:val="BodyText"/>
      </w:pPr>
      <w:r>
        <w:rPr>
          <w:rFonts w:ascii="Arial" w:hAnsi="Arial"/>
          <w:i/>
        </w:rPr>
        <w:t xml:space="preserve">AI Civilization Governance Whitepaper v1.0 · Chapter 4</w:t>
      </w:r>
    </w:p>
    <w:sectPr>
      <w:headerReference w:type="default" r:id="rId9"/>
      <w:footerReference w:type="default" r:id="rId10"/>
      <w:pgMar w:top="1440" w:bottom="1440" w:left="1728" w:right="17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Arial" w:hAnsi="Arial"/>
        <w:color w:val="808080"/>
        <w:sz w:val="18"/>
      </w:rPr>
      <w:t xml:space="preserve">Page </w:t>
    </w:r>
    <w:r>
      <w:fldChar w:fldCharType="begin"/>
    </w:r>
    <w:r>
      <w:instrText xml:space="preserve"> PAGE </w:instrText>
    </w:r>
    <w:r>
      <w:fldChar w:fldCharType="end"/>
    </w:r>
    <w:r>
      <w:rPr>
        <w:rFonts w:ascii="Arial" w:hAnsi="Arial"/>
        <w:color w:val="808080"/>
        <w:sz w:val="18"/>
      </w:rPr>
      <w:t xml:space="preserve"> of </w:t>
    </w:r>
    <w:r>
      <w:fldChar w:fldCharType="begin"/>
    </w:r>
    <w:r>
      <w:instrText xml:space="preserve"> NUMPAGES </w:instrText>
    </w:r>
    <w:r>
      <w:fldChar w:fldCharType="end"/>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Bdr>
        <w:bottom w:val="single" w:sz="4" w:space="1" w:color="CCCCCC"/>
      </w:pBdr>
    </w:pPr>
    <w:r/>
    <w:r>
      <w:rPr>
        <w:rFonts w:ascii="Arial" w:hAnsi="Arial"/>
        <w:color w:val="808080"/>
        <w:sz w:val="18"/>
      </w:rPr>
      <w:t>DAOTONG AI Governance Whitepaper · Chapter 4</w:t>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411">
    <w:nsid w:val="ea454b4c"/>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abstractNum w:abstractNumId="991">
    <w:nsid w:val="71315dca"/>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spelling="clean" w:grammar="clean"/>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276"/>
  <w:style w:type="paragraph" w:default="1" w:styleId="Normal">
    <w:name w:val="Normal"/>
    <w:qFormat/>
    <w:rPr>
      <w:rFonts w:ascii="Arial" w:hAnsi="Arial" w:cs="Arial"/>
      <w:sz w:val="22"/>
    </w:rPr>
  </w:style>
  <w:style w:type="paragraph" w:styleId="BodyText">
    <w:name w:val="Body Text"/>
    <w:basedOn w:val="Normal"/>
    <w:link w:val="BodyTextChar"/>
    <w:pPr>
      <w:spacing w:before="180" w:after="180"/>
    </w:pPr>
    <w:qFormat/>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keepNext/>
      <w:keepLines/>
      <w:spacing w:before="240" w:after="240"/>
      <w:jc w:val="center"/>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next w:val="Bibliography"/>
    <w:qFormat/>
    <w:pPr/>
    <w:rPr/>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sz w:val="24"/>
      <w:szCs w:val="24"/>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i/>
      <w:bCs/>
      <w:color w:val="4F81BD" w:themeColor="accent1"/>
      <w:sz w:val="24"/>
      <w:szCs w:val="24"/>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sz w:val="24"/>
      <w:szCs w:val="24"/>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sz w:val="24"/>
      <w:szCs w:val="24"/>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sz w:val="24"/>
      <w:szCs w:val="24"/>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sz w:val="24"/>
      <w:szCs w:val="24"/>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sz w:val="24"/>
      <w:szCs w:val="24"/>
    </w:rPr>
  </w:style>
  <w:style w:type="paragraph" w:styleId="BlockText">
    <w:name w:val="Block Text"/>
    <w:basedOn w:val="BodyText"/>
    <w:next w:val="BodyText"/>
    <w:uiPriority w:val="9"/>
    <w:unhideWhenUsed/>
    <w:qFormat/>
    <w:pPr>
      <w:spacing w:before="100" w:after="100"/>
      <w:ind w:firstLine="0" w:left="480" w:right="480"/>
    </w:pPr>
  </w:style>
  <w:style w:type="paragraph" w:styleId="FootnoteText">
    <w:name w:val="Footnote Text"/>
    <w:basedOn w:val="Normal"/>
    <w:next w:val="FootnoteText"/>
    <w:uiPriority w:val="9"/>
    <w:unhideWhenUsed/>
    <w:qFormat/>
  </w:style>
  <w:style w:type="character" w:default="1" w:styleId="DefaultParagraphFont">
    <w:name w:val="Default Paragraph Font"/>
    <w:semiHidden/>
    <w:unhideWhenUsed/>
  </w:style>
  <w:style w:type="table" w:default="1" w:styleId="Table">
    <w:name w:val="Table"/>
    <w:basedOn w:val="TableNormal"/>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BodyTextChar"/>
    <w:pPr>
      <w:spacing w:before="0"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BodyTextChar">
    <w:name w:val="Body Text Char"/>
    <w:basedOn w:val="DefaultParagraphFont"/>
    <w:link w:val="BodyText"/>
  </w:style>
  <w:style w:type="character" w:customStyle="1" w:styleId="VerbatimChar">
    <w:name w:val="Verbatim Char"/>
    <w:basedOn w:val="BodyTextChar"/>
    <w:rPr>
      <w:rFonts w:ascii="Consolas" w:hAnsi="Consolas"/>
      <w:sz w:val="22"/>
    </w:rPr>
  </w:style>
  <w:style w:type="character" w:styleId="FootnoteReference">
    <w:name w:val="Footnote Reference"/>
    <w:basedOn w:val="BodyTextChar"/>
    <w:rPr>
      <w:vertAlign w:val="superscript"/>
    </w:rPr>
  </w:style>
  <w:style w:type="character" w:styleId="Hyperlink">
    <w:name w:val="Hyperlink"/>
    <w:basedOn w:val="BodyText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rFonts w:asciiTheme="majorHAnsi" w:eastAsiaTheme="majorEastAsia" w:hAnsiTheme="majorHAnsi" w:cstheme="majorBidi"/>
      <w:b w:val="0"/>
      <w:bCs w:val="0"/>
      <w:color w:val="365F91" w:themeColor="accent1" w:themeShade="BF"/>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2026-06-28T11:33:35Z</dcterms:created>
  <dcterms:modified xsi:type="dcterms:W3CDTF">2026-06-28T11:33:35Z</dcterms:modified>
</cp:coreProperties>
</file>

<file path=docProps/custom.xml><?xml version="1.0" encoding="utf-8"?>
<Properties xmlns="http://schemas.openxmlformats.org/officeDocument/2006/custom-properties" xmlns:vt="http://schemas.openxmlformats.org/officeDocument/2006/docPropsVTypes"/>
</file>