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6683873016584aeddbd3e4a57cf40e18b8420a"/>
      <w:r>
        <w:rPr>
          <w:rFonts w:ascii="Arial" w:hAnsi="Arial"/>
        </w:rPr>
        <w:t xml:space="preserve">AI Civilization Governance System · Whitepaper v1.0</w:t>
      </w:r>
      <w:bookmarkEnd w:id="20"/>
    </w:p>
    <w:p>
      <w:pPr>
        <w:pStyle w:val="Heading2"/>
      </w:pPr>
      <w:bookmarkStart w:id="21" w:name="Xf2d1c0e993cce3e6df826ae0d4db1efcdf5fe4c"/>
      <w:r>
        <w:rPr>
          <w:rFonts w:ascii="Arial" w:hAnsi="Arial"/>
        </w:rPr>
        <w:t xml:space="preserve">Chapter 3 Architecture: Three-Layer Governance Structure</w:t>
      </w:r>
      <w:bookmarkEnd w:id="21"/>
    </w:p>
    <w:p>
      <w:pPr>
        <w:pStyle w:val="FirstParagraph"/>
      </w:pPr>
      <w:r>
        <w:rPr>
          <w:rFonts w:ascii="Arial" w:hAnsi="Arial"/>
          <w:i/>
        </w:rPr>
        <w:t xml:space="preserve">If Chapter 1 is a diagnosis of the existing system and Chapter 2 is a theoretical exposition of the new paradigm, then Chapter 3 is the engineering blueprint for this new building. The question to be answered here is extremely specific: In a governance system jointly composed of AI systems, human veto mechanisms, and popular democracy, who makes what decisions under what circumstances? Where are the boundaries? What happens when boundaries are crossed? This chapter has the highest technical content in the entire book and is the key to whether the entire system can truly be implemented.</w:t>
      </w:r>
    </w:p>
    <w:p>
      <w:pPr>
        <w:pStyle w:val="Heading3"/>
      </w:pPr>
      <w:bookmarkStart w:id="22" w:name="why-three-layers-not-two-or-four"/>
      <w:r>
        <w:rPr>
          <w:rFonts w:ascii="Arial" w:hAnsi="Arial"/>
        </w:rPr>
        <w:t xml:space="preserve">3.1 Why Three Layers, Not Two or Four</w:t>
      </w:r>
      <w:bookmarkEnd w:id="22"/>
    </w:p>
    <w:p>
      <w:pPr>
        <w:pStyle w:val="FirstParagraph"/>
      </w:pPr>
      <w:r>
        <w:rPr>
          <w:rFonts w:ascii="Arial" w:hAnsi="Arial"/>
        </w:rPr>
        <w:t xml:space="preserve">Before detailing the specific design of each layer, a more fundamental question must be answered: Why is this governance architecture three-layered?</w:t>
      </w:r>
    </w:p>
    <w:p>
      <w:pPr>
        <w:pStyle w:val="BodyText"/>
      </w:pPr>
      <w:r>
        <w:rPr>
          <w:rFonts w:ascii="Arial" w:hAnsi="Arial"/>
        </w:rPr>
        <w:t xml:space="preserve">The answer comes from a categorical analysis of the nature of governance decisions. All governance decisions, however diverse their surface forms, can be classified into three types at a deeper structural level:</w:t>
      </w:r>
    </w:p>
    <w:p>
      <w:pPr>
        <w:numPr>
          <w:ilvl w:val="0"/>
          <w:numId w:val="1001"/>
        </w:numPr>
      </w:pPr>
      <w:r>
        <w:rPr>
          <w:rFonts w:ascii="Arial" w:hAnsi="Arial"/>
          <w:b/>
        </w:rPr>
        <w:t xml:space="preserve">Routine Executive Decisions</w:t>
      </w:r>
      <w:r>
        <w:rPr>
          <w:rFonts w:ascii="Arial" w:hAnsi="Arial"/>
        </w:rPr>
        <w:t xml:space="preserve">: Applying rules to specific cases when rules are completely clear. Approving a building permit application that meets standards, executing a compliant fiscal allocation, recording undisputed judicial evidence. The characteristic of such decisions is: there is a single correct answer, which can be fully automated; human involvement only increases costs and introduces subjective bias.</w:t>
      </w:r>
    </w:p>
    <w:p>
      <w:pPr>
        <w:numPr>
          <w:ilvl w:val="0"/>
          <w:numId w:val="1001"/>
        </w:numPr>
      </w:pPr>
      <w:r>
        <w:rPr>
          <w:rFonts w:ascii="Arial" w:hAnsi="Arial"/>
          <w:b/>
        </w:rPr>
        <w:t xml:space="preserve">Major Directional Decisions</w:t>
      </w:r>
      <w:r>
        <w:rPr>
          <w:rFonts w:ascii="Arial" w:hAnsi="Arial"/>
        </w:rPr>
        <w:t xml:space="preserve">: Requiring human judgment when rule boundaries are fuzzy or multiple rules conflict with each other. This includes: whether AI system policy recommendations align with constitutional spirit, whether a newly emerging social dispute requires new legislation, and whether AI rulings need to be overturned in special circumstances. Such decisions require human institutions with experience, independence, and no short-term political interests.</w:t>
      </w:r>
    </w:p>
    <w:p>
      <w:pPr>
        <w:numPr>
          <w:ilvl w:val="0"/>
          <w:numId w:val="1001"/>
        </w:numPr>
      </w:pPr>
      <w:r>
        <w:rPr>
          <w:rFonts w:ascii="Arial" w:hAnsi="Arial"/>
          <w:b/>
        </w:rPr>
        <w:t xml:space="preserve">Fundamental Value Decisions</w:t>
      </w:r>
      <w:r>
        <w:rPr>
          <w:rFonts w:ascii="Arial" w:hAnsi="Arial"/>
        </w:rPr>
        <w:t xml:space="preserve">: Involving choices of shared values for the entire society. War or peace, constitutional amendments, fundamental directions of large-scale fiscal policy. The legitimacy of such decisions can only come from the direct participation of all citizens; neither expert committees nor AI systems are qualified to make such judgments on behalf of all citizens.</w:t>
      </w:r>
    </w:p>
    <w:p>
      <w:pPr>
        <w:pStyle w:val="FirstParagraph"/>
      </w:pPr>
      <w:r>
        <w:rPr>
          <w:rFonts w:ascii="Arial" w:hAnsi="Arial"/>
        </w:rPr>
        <w:t xml:space="preserve">The three-layer architecture precisely corresponds to these three decision types. It is not arbitrarily delineated, but a logical conclusion derived from the inherent attributes of decisions. Adding layers increases coordination complexity without improving decision quality; reducing layers would cause certain types of decisions to fall into institutions unsuited to handle them.</w:t>
      </w:r>
    </w:p>
    <w:p>
      <w:pPr>
        <w:pStyle w:val="Heading3"/>
      </w:pPr>
      <w:bookmarkStart w:id="23" w:name="X1f114c1bf359784679c41578d50016741bc8e2b"/>
      <w:r>
        <w:rPr>
          <w:rFonts w:ascii="Arial" w:hAnsi="Arial"/>
        </w:rPr>
        <w:t xml:space="preserve">3.2 Layer One: Artificial Intelligence Governance Core (AIGC)</w:t>
      </w:r>
      <w:bookmarkEnd w:id="23"/>
    </w:p>
    <w:p>
      <w:pPr>
        <w:pStyle w:val="FirstParagraph"/>
      </w:pPr>
      <w:r>
        <w:rPr>
          <w:rFonts w:ascii="Arial" w:hAnsi="Arial"/>
        </w:rPr>
        <w:t xml:space="preserve">The Artificial Intelligence Governance Core (AIGC) is the execution engine of the entire city governance system. It is not a single AI program, but a system composed of multiple specialized modules, with each module responsible for a specific governance domain, collectively forming the automated infrastructure for the city’s daily operations.</w:t>
      </w:r>
    </w:p>
    <w:p>
      <w:pPr>
        <w:pStyle w:val="BodyText"/>
      </w:pPr>
      <w:r>
        <w:rPr>
          <w:rFonts w:ascii="Arial" w:hAnsi="Arial"/>
          <w:b/>
        </w:rPr>
        <w:t xml:space="preserve">AIGC’s Design Philosophy: A Rule Execution Machine, Not a Decision Maker</w:t>
      </w:r>
    </w:p>
    <w:p>
      <w:pPr>
        <w:pStyle w:val="BodyText"/>
      </w:pPr>
      <w:r>
        <w:rPr>
          <w:rFonts w:ascii="Arial" w:hAnsi="Arial"/>
        </w:rPr>
        <w:t xml:space="preserve">The most important framework for understanding AIGC is to compare it to a precision legal automatic execution machine. Its role is similar to a judge who strictly follows legal provisions and is never influenced by emotions or interests—but not a legislator who creates new laws based on their own value judgments.</w:t>
      </w:r>
    </w:p>
    <w:p>
      <w:pPr>
        <w:pStyle w:val="BodyText"/>
      </w:pPr>
      <w:r>
        <w:rPr>
          <w:rFonts w:ascii="Arial" w:hAnsi="Arial"/>
          <w:b/>
        </w:rPr>
        <w:t xml:space="preserve">What AIGC Does:</w:t>
      </w:r>
      <w:r>
        <w:rPr>
          <w:rFonts w:ascii="Arial" w:hAnsi="Arial"/>
        </w:rPr>
        <w:t xml:space="preserve"> </w:t>
      </w:r>
      <w:r>
        <w:rPr>
          <w:rFonts w:ascii="Arial" w:hAnsi="Arial"/>
        </w:rPr>
        <w:t xml:space="preserve">Processes specific cases based on clearly coded rules, produces predictable outputs, maintains complete records, and is fully auditable.</w:t>
      </w:r>
    </w:p>
    <w:p>
      <w:pPr>
        <w:pStyle w:val="BodyText"/>
      </w:pPr>
      <w:r>
        <w:rPr>
          <w:rFonts w:ascii="Arial" w:hAnsi="Arial"/>
          <w:b/>
        </w:rPr>
        <w:t xml:space="preserve">What AIGC Does Not Do:</w:t>
      </w:r>
      <w:r>
        <w:rPr>
          <w:rFonts w:ascii="Arial" w:hAnsi="Arial"/>
        </w:rPr>
        <w:t xml:space="preserve"> </w:t>
      </w:r>
      <w:r>
        <w:rPr>
          <w:rFonts w:ascii="Arial" w:hAnsi="Arial"/>
        </w:rPr>
        <w:t xml:space="preserve">Decides what the rules should be; does anything when rules explicitly prohibit it; autonomously makes decisions in new situations without explicit rule coverage; modifies its own objective function or rule base.</w:t>
      </w:r>
    </w:p>
    <w:p>
      <w:pPr>
        <w:pStyle w:val="BodyText"/>
      </w:pPr>
      <w:r>
        <w:rPr>
          <w:rFonts w:ascii="Arial" w:hAnsi="Arial"/>
        </w:rPr>
        <w:t xml:space="preserve">This boundary is technically enforced, not just relying on policy. AIGC’s rule base is read-only; it can only be modified through the Elder Council’s legislative review process, and AIGC itself has no write permissions. Every output generated by AIGC carries a reasoning chain hash; any output without a complete reasoning chain is rejected at the system level.</w:t>
      </w:r>
    </w:p>
    <w:p>
      <w:pPr>
        <w:pStyle w:val="BodyText"/>
      </w:pPr>
      <w:r>
        <w:rPr>
          <w:rFonts w:ascii="Arial" w:hAnsi="Arial"/>
          <w:b/>
        </w:rPr>
        <w:t xml:space="preserve">AIGC’s Nine Functional Modules</w:t>
      </w:r>
    </w:p>
    <w:p>
      <w:pPr>
        <w:pStyle w:val="BodyText"/>
      </w:pPr>
      <w:r>
        <w:rPr>
          <w:rFonts w:ascii="Arial" w:hAnsi="Arial"/>
        </w:rPr>
        <w:t xml:space="preserve">AIGC consists of nine specialized functional modules, each technically independent but data-connected:</w:t>
      </w:r>
    </w:p>
    <w:tbl>
      <w:tblPr>
        <w:tblStyle w:val="Table"/>
        <w:tblW w:type="pct" w:w="5000.0"/>
        <w:tblLook w:firstRow="1"/>
      </w:tblPr>
      <w:tblGrid>
        <w:gridCol w:w="1643"/>
        <w:gridCol w:w="2241"/>
        <w:gridCol w:w="1419"/>
        <w:gridCol w:w="2615"/>
      </w:tblGrid>
      <w:tr>
        <w:trPr>
          <w:cnfStyle w:firstRow="1"/>
        </w:trPr>
        <w:tc>
          <w:tcPr>
            <w:tcBorders>
              <w:bottom w:val="single"/>
            </w:tcBorders>
            <w:vAlign w:val="bottom"/>
          </w:tcPr>
          <w:p>
            <w:pPr>
              <w:pStyle w:val="Compact"/>
              <w:jc w:val="left"/>
            </w:pPr>
            <w:r>
              <w:rPr>
                <w:b/>
              </w:rPr>
              <w:t xml:space="preserve">Functional Module</w:t>
            </w:r>
          </w:p>
        </w:tc>
        <w:tc>
          <w:tcPr>
            <w:tcBorders>
              <w:bottom w:val="single"/>
            </w:tcBorders>
            <w:vAlign w:val="bottom"/>
          </w:tcPr>
          <w:p>
            <w:pPr>
              <w:pStyle w:val="Compact"/>
              <w:jc w:val="left"/>
            </w:pPr>
            <w:r>
              <w:rPr>
                <w:b/>
              </w:rPr>
              <w:t xml:space="preserve">Primary Responsibilities</w:t>
            </w:r>
          </w:p>
        </w:tc>
        <w:tc>
          <w:tcPr>
            <w:tcBorders>
              <w:bottom w:val="single"/>
            </w:tcBorders>
            <w:vAlign w:val="bottom"/>
          </w:tcPr>
          <w:p>
            <w:pPr>
              <w:pStyle w:val="Compact"/>
              <w:jc w:val="left"/>
            </w:pPr>
            <w:r>
              <w:rPr>
                <w:b/>
              </w:rPr>
              <w:t xml:space="preserve">Output Types</w:t>
            </w:r>
          </w:p>
        </w:tc>
        <w:tc>
          <w:tcPr>
            <w:tcBorders>
              <w:bottom w:val="single"/>
            </w:tcBorders>
            <w:vAlign w:val="bottom"/>
          </w:tcPr>
          <w:p>
            <w:pPr>
              <w:pStyle w:val="Compact"/>
              <w:jc w:val="left"/>
            </w:pPr>
            <w:r>
              <w:rPr>
                <w:b/>
              </w:rPr>
              <w:t xml:space="preserve">Human Intervention Conditions</w:t>
            </w:r>
          </w:p>
        </w:tc>
      </w:tr>
      <w:tr>
        <w:tc>
          <w:p>
            <w:pPr>
              <w:pStyle w:val="Compact"/>
              <w:jc w:val="left"/>
            </w:pPr>
            <w:r>
              <w:t xml:space="preserve">Regulatory Enforcement Module</w:t>
            </w:r>
          </w:p>
        </w:tc>
        <w:tc>
          <w:p>
            <w:pPr>
              <w:pStyle w:val="Compact"/>
              <w:jc w:val="left"/>
            </w:pPr>
            <w:r>
              <w:t xml:space="preserve">Transforms legislated rules into executable logic, applied to specific cases</w:t>
            </w:r>
          </w:p>
        </w:tc>
        <w:tc>
          <w:p>
            <w:pPr>
              <w:pStyle w:val="Compact"/>
              <w:jc w:val="left"/>
            </w:pPr>
            <w:r>
              <w:t xml:space="preserve">Execution decisions + reasoning chains</w:t>
            </w:r>
          </w:p>
        </w:tc>
        <w:tc>
          <w:p>
            <w:pPr>
              <w:pStyle w:val="Compact"/>
              <w:jc w:val="left"/>
            </w:pPr>
            <w:r>
              <w:t xml:space="preserve">Rule conflicts or rule gaps</w:t>
            </w:r>
          </w:p>
        </w:tc>
      </w:tr>
      <w:tr>
        <w:tc>
          <w:p>
            <w:pPr>
              <w:pStyle w:val="Compact"/>
              <w:jc w:val="left"/>
            </w:pPr>
            <w:r>
              <w:t xml:space="preserve">Fiscal Management Module</w:t>
            </w:r>
          </w:p>
        </w:tc>
        <w:tc>
          <w:p>
            <w:pPr>
              <w:pStyle w:val="Compact"/>
              <w:jc w:val="left"/>
            </w:pPr>
            <w:r>
              <w:t xml:space="preserve">Automatically executes budget allocation, fund transfers, revenue collection, on-chain records</w:t>
            </w:r>
          </w:p>
        </w:tc>
        <w:tc>
          <w:p>
            <w:pPr>
              <w:pStyle w:val="Compact"/>
              <w:jc w:val="left"/>
            </w:pPr>
            <w:r>
              <w:t xml:space="preserve">Transaction records + fiscal reports</w:t>
            </w:r>
          </w:p>
        </w:tc>
        <w:tc>
          <w:p>
            <w:pPr>
              <w:pStyle w:val="Compact"/>
              <w:jc w:val="left"/>
            </w:pPr>
            <w:r>
              <w:t xml:space="preserve">Over-budget expenditure requests</w:t>
            </w:r>
          </w:p>
        </w:tc>
      </w:tr>
      <w:tr>
        <w:tc>
          <w:p>
            <w:pPr>
              <w:pStyle w:val="Compact"/>
              <w:jc w:val="left"/>
            </w:pPr>
            <w:r>
              <w:t xml:space="preserve">Judicial Assistance Module</w:t>
            </w:r>
          </w:p>
        </w:tc>
        <w:tc>
          <w:p>
            <w:pPr>
              <w:pStyle w:val="Compact"/>
              <w:jc w:val="left"/>
            </w:pPr>
            <w:r>
              <w:t xml:space="preserve">Collects evidence, generates ruling recommendations, manages jury processes</w:t>
            </w:r>
          </w:p>
        </w:tc>
        <w:tc>
          <w:p>
            <w:pPr>
              <w:pStyle w:val="Compact"/>
              <w:jc w:val="left"/>
            </w:pPr>
            <w:r>
              <w:t xml:space="preserve">Ruling recommendations + evidence lists</w:t>
            </w:r>
          </w:p>
        </w:tc>
        <w:tc>
          <w:p>
            <w:pPr>
              <w:pStyle w:val="Compact"/>
              <w:jc w:val="left"/>
            </w:pPr>
            <w:r>
              <w:t xml:space="preserve">All cases (jury confirmation required)</w:t>
            </w:r>
          </w:p>
        </w:tc>
      </w:tr>
      <w:tr>
        <w:tc>
          <w:p>
            <w:pPr>
              <w:pStyle w:val="Compact"/>
              <w:jc w:val="left"/>
            </w:pPr>
            <w:r>
              <w:t xml:space="preserve">Administrative Approval Module</w:t>
            </w:r>
          </w:p>
        </w:tc>
        <w:tc>
          <w:p>
            <w:pPr>
              <w:pStyle w:val="Compact"/>
              <w:jc w:val="left"/>
            </w:pPr>
            <w:r>
              <w:t xml:space="preserve">Automatically processes building permits, business licenses, various administrative applications</w:t>
            </w:r>
          </w:p>
        </w:tc>
        <w:tc>
          <w:p>
            <w:pPr>
              <w:pStyle w:val="Compact"/>
              <w:jc w:val="left"/>
            </w:pPr>
            <w:r>
              <w:t xml:space="preserve">Approval decisions + basis</w:t>
            </w:r>
          </w:p>
        </w:tc>
        <w:tc>
          <w:p>
            <w:pPr>
              <w:pStyle w:val="Compact"/>
              <w:jc w:val="left"/>
            </w:pPr>
            <w:r>
              <w:t xml:space="preserve">Applications not conforming to any existing rules</w:t>
            </w:r>
          </w:p>
        </w:tc>
      </w:tr>
      <w:tr>
        <w:tc>
          <w:p>
            <w:pPr>
              <w:pStyle w:val="Compact"/>
              <w:jc w:val="left"/>
            </w:pPr>
            <w:r>
              <w:t xml:space="preserve">Risk Early Warning Module</w:t>
            </w:r>
          </w:p>
        </w:tc>
        <w:tc>
          <w:p>
            <w:pPr>
              <w:pStyle w:val="Compact"/>
              <w:jc w:val="left"/>
            </w:pPr>
            <w:r>
              <w:t xml:space="preserve">Monitors social stability risks, economic anomalies, security threats, provides early warnings</w:t>
            </w:r>
          </w:p>
        </w:tc>
        <w:tc>
          <w:p>
            <w:pPr>
              <w:pStyle w:val="Compact"/>
              <w:jc w:val="left"/>
            </w:pPr>
            <w:r>
              <w:t xml:space="preserve">Risk reports + recommended measures</w:t>
            </w:r>
          </w:p>
        </w:tc>
        <w:tc>
          <w:p>
            <w:pPr>
              <w:pStyle w:val="Compact"/>
              <w:jc w:val="left"/>
            </w:pPr>
            <w:r>
              <w:t xml:space="preserve">Level 2 and above risk signals</w:t>
            </w:r>
          </w:p>
        </w:tc>
      </w:tr>
      <w:tr>
        <w:tc>
          <w:p>
            <w:pPr>
              <w:pStyle w:val="Compact"/>
              <w:jc w:val="left"/>
            </w:pPr>
            <w:r>
              <w:t xml:space="preserve">Policy Simulation Module</w:t>
            </w:r>
          </w:p>
        </w:tc>
        <w:tc>
          <w:p>
            <w:pPr>
              <w:pStyle w:val="Compact"/>
              <w:jc w:val="left"/>
            </w:pPr>
            <w:r>
              <w:t xml:space="preserve">Simulates multi-dimensional policy impacts before implementation, generates effect predictions</w:t>
            </w:r>
          </w:p>
        </w:tc>
        <w:tc>
          <w:p>
            <w:pPr>
              <w:pStyle w:val="Compact"/>
              <w:jc w:val="left"/>
            </w:pPr>
            <w:r>
              <w:t xml:space="preserve">Simulation reports + confidence intervals</w:t>
            </w:r>
          </w:p>
        </w:tc>
        <w:tc>
          <w:p>
            <w:pPr>
              <w:pStyle w:val="Compact"/>
              <w:jc w:val="left"/>
            </w:pPr>
            <w:r>
              <w:t xml:space="preserve">Major policies must run before legislation</w:t>
            </w:r>
          </w:p>
        </w:tc>
      </w:tr>
      <w:tr>
        <w:tc>
          <w:p>
            <w:pPr>
              <w:pStyle w:val="Compact"/>
              <w:jc w:val="left"/>
            </w:pPr>
            <w:r>
              <w:t xml:space="preserve">Urban Planning Module</w:t>
            </w:r>
          </w:p>
        </w:tc>
        <w:tc>
          <w:p>
            <w:pPr>
              <w:pStyle w:val="Compact"/>
              <w:jc w:val="left"/>
            </w:pPr>
            <w:r>
              <w:t xml:space="preserve">Optimizes transportation, energy, land use, and public service layout based on real-time data</w:t>
            </w:r>
          </w:p>
        </w:tc>
        <w:tc>
          <w:p>
            <w:pPr>
              <w:pStyle w:val="Compact"/>
              <w:jc w:val="left"/>
            </w:pPr>
            <w:r>
              <w:t xml:space="preserve">Planning recommendations + cost-benefit analysis</w:t>
            </w:r>
          </w:p>
        </w:tc>
        <w:tc>
          <w:p>
            <w:pPr>
              <w:pStyle w:val="Compact"/>
              <w:jc w:val="left"/>
            </w:pPr>
            <w:r>
              <w:t xml:space="preserve">Involving resident relocation or major reconstruction</w:t>
            </w:r>
          </w:p>
        </w:tc>
      </w:tr>
      <w:tr>
        <w:tc>
          <w:p>
            <w:pPr>
              <w:pStyle w:val="Compact"/>
              <w:jc w:val="left"/>
            </w:pPr>
            <w:r>
              <w:t xml:space="preserve">Economic Regulation Module</w:t>
            </w:r>
          </w:p>
        </w:tc>
        <w:tc>
          <w:p>
            <w:pPr>
              <w:pStyle w:val="Compact"/>
              <w:jc w:val="left"/>
            </w:pPr>
            <w:r>
              <w:t xml:space="preserve">Monitors economic indicators, adjusts tax rates, interest rates and other parameters within authorized scope</w:t>
            </w:r>
          </w:p>
        </w:tc>
        <w:tc>
          <w:p>
            <w:pPr>
              <w:pStyle w:val="Compact"/>
              <w:jc w:val="left"/>
            </w:pPr>
            <w:r>
              <w:t xml:space="preserve">Adjustment recommendations + historical data</w:t>
            </w:r>
          </w:p>
        </w:tc>
        <w:tc>
          <w:p>
            <w:pPr>
              <w:pStyle w:val="Compact"/>
              <w:jc w:val="left"/>
            </w:pPr>
            <w:r>
              <w:t xml:space="preserve">Adjustments beyond authorized scope</w:t>
            </w:r>
          </w:p>
        </w:tc>
      </w:tr>
      <w:tr>
        <w:tc>
          <w:p>
            <w:pPr>
              <w:pStyle w:val="Compact"/>
              <w:jc w:val="left"/>
            </w:pPr>
            <w:r>
              <w:t xml:space="preserve">Identity and Rights Module</w:t>
            </w:r>
          </w:p>
        </w:tc>
        <w:tc>
          <w:p>
            <w:pPr>
              <w:pStyle w:val="Compact"/>
              <w:jc w:val="left"/>
            </w:pPr>
            <w:r>
              <w:t xml:space="preserve">Manages citizen digital identities, voting rights, UBI distribution, digital equity</w:t>
            </w:r>
          </w:p>
        </w:tc>
        <w:tc>
          <w:p>
            <w:pPr>
              <w:pStyle w:val="Compact"/>
              <w:jc w:val="left"/>
            </w:pPr>
            <w:r>
              <w:t xml:space="preserve">Status updates + operation records</w:t>
            </w:r>
          </w:p>
        </w:tc>
        <w:tc>
          <w:p>
            <w:pPr>
              <w:pStyle w:val="Compact"/>
              <w:jc w:val="left"/>
            </w:pPr>
            <w:r>
              <w:t xml:space="preserve">Identity disputes or rights anomalies</w:t>
            </w:r>
          </w:p>
        </w:tc>
      </w:tr>
    </w:tbl>
    <w:p>
      <w:pPr>
        <w:pStyle w:val="BodyText"/>
      </w:pPr>
      <w:r>
        <w:rPr>
          <w:rFonts w:ascii="Arial" w:hAnsi="Arial"/>
          <w:b/>
        </w:rPr>
        <w:t xml:space="preserve">AIGC’s Technical Architecture Principles</w:t>
      </w:r>
    </w:p>
    <w:p>
      <w:pPr>
        <w:pStyle w:val="BodyText"/>
      </w:pPr>
      <w:r>
        <w:rPr>
          <w:rFonts w:ascii="Arial" w:hAnsi="Arial"/>
        </w:rPr>
        <w:t xml:space="preserve">AIGC’s technical architecture follows five non-negotiable principles, which ensure the system’s trustworthiness by design:</w:t>
      </w:r>
    </w:p>
    <w:p>
      <w:pPr>
        <w:numPr>
          <w:ilvl w:val="0"/>
          <w:numId w:val="1002"/>
        </w:numPr>
      </w:pPr>
      <w:r>
        <w:rPr>
          <w:rFonts w:ascii="Arial" w:hAnsi="Arial"/>
          <w:b/>
        </w:rPr>
        <w:t xml:space="preserve">Explainability takes priority over accuracy.</w:t>
      </w:r>
      <w:r>
        <w:rPr>
          <w:rFonts w:ascii="Arial" w:hAnsi="Arial"/>
        </w:rPr>
        <w:t xml:space="preserve"> </w:t>
      </w:r>
      <w:r>
        <w:rPr>
          <w:rFonts w:ascii="Arial" w:hAnsi="Arial"/>
        </w:rPr>
        <w:t xml:space="preserve">All AIGC decisions must be capable of generating human-readable reasoning chains. If a more accurate model cannot provide a clear reasoning chain, it should not be used for governance decisions, even if a slightly inferior but transparent model could be.</w:t>
      </w:r>
    </w:p>
    <w:p>
      <w:pPr>
        <w:numPr>
          <w:ilvl w:val="0"/>
          <w:numId w:val="1002"/>
        </w:numPr>
      </w:pPr>
      <w:r>
        <w:rPr>
          <w:rFonts w:ascii="Arial" w:hAnsi="Arial"/>
          <w:b/>
        </w:rPr>
        <w:t xml:space="preserve">Determinismbetter than adaptability.</w:t>
      </w:r>
      <w:r>
        <w:rPr>
          <w:rFonts w:ascii="Arial" w:hAnsi="Arial"/>
        </w:rPr>
        <w:t xml:space="preserve"> </w:t>
      </w:r>
      <w:r>
        <w:rPr>
          <w:rFonts w:ascii="Arial" w:hAnsi="Arial"/>
        </w:rPr>
        <w:t xml:space="preserve">AIGC is not a system that continuously self-learns during operation—in the governance domain, unpredictable behavioral drift is more dangerous than inefficiency. Rule updates are made through explicit legislative procedures, not through autonomous system learning.</w:t>
      </w:r>
    </w:p>
    <w:p>
      <w:pPr>
        <w:numPr>
          <w:ilvl w:val="0"/>
          <w:numId w:val="1002"/>
        </w:numPr>
      </w:pPr>
      <w:r>
        <w:rPr>
          <w:rFonts w:ascii="Arial" w:hAnsi="Arial"/>
          <w:b/>
        </w:rPr>
        <w:t xml:space="preserve">Principle of Least Privilege.</w:t>
      </w:r>
      <w:r>
        <w:rPr>
          <w:rFonts w:ascii="Arial" w:hAnsi="Arial"/>
        </w:rPr>
        <w:t xml:space="preserve"> </w:t>
      </w:r>
      <w:r>
        <w:rPr>
          <w:rFonts w:ascii="Arial" w:hAnsi="Arial"/>
        </w:rPr>
        <w:t xml:space="preserve">Each functional module can only access the minimum dataset required to complete its responsibilities; inter-module data sharing is subject to strict access controls; no single module can access all data across the entire system.</w:t>
      </w:r>
    </w:p>
    <w:p>
      <w:pPr>
        <w:numPr>
          <w:ilvl w:val="0"/>
          <w:numId w:val="1002"/>
        </w:numPr>
      </w:pPr>
      <w:r>
        <w:rPr>
          <w:rFonts w:ascii="Arial" w:hAnsi="Arial"/>
          <w:b/>
        </w:rPr>
        <w:t xml:space="preserve">Redundant Verification Design.</w:t>
      </w:r>
      <w:r>
        <w:rPr>
          <w:rFonts w:ascii="Arial" w:hAnsi="Arial"/>
        </w:rPr>
        <w:t xml:space="preserve"> </w:t>
      </w:r>
      <w:r>
        <w:rPr>
          <w:rFonts w:ascii="Arial" w:hAnsi="Arial"/>
        </w:rPr>
        <w:t xml:space="preserve">All high-impact decisions must undergo cross-verification by at least two independent modules before execution; no single point of failure should result in the execution of incorrect decisions.</w:t>
      </w:r>
    </w:p>
    <w:p>
      <w:pPr>
        <w:numPr>
          <w:ilvl w:val="0"/>
          <w:numId w:val="1002"/>
        </w:numPr>
      </w:pPr>
      <w:r>
        <w:rPr>
          <w:rFonts w:ascii="Arial" w:hAnsi="Arial"/>
          <w:b/>
        </w:rPr>
        <w:t xml:space="preserve">Fail-Safe Mode.</w:t>
      </w:r>
      <w:r>
        <w:rPr>
          <w:rFonts w:ascii="Arial" w:hAnsi="Arial"/>
        </w:rPr>
        <w:t xml:space="preserve"> </w:t>
      </w:r>
      <w:r>
        <w:rPr>
          <w:rFonts w:ascii="Arial" w:hAnsi="Arial"/>
        </w:rPr>
        <w:t xml:space="preserve">When the system encounters situations it cannot process, the default behavior is to stop and request human intervention, rather than guessing the most likely answer and continuing execution.</w:t>
      </w:r>
    </w:p>
    <w:p>
      <w:pPr>
        <w:pStyle w:val="Heading3"/>
      </w:pPr>
      <w:bookmarkStart w:id="24" w:name="layer-two-elder-council-senate-of-wisdom"/>
      <w:r>
        <w:rPr>
          <w:rFonts w:ascii="Arial" w:hAnsi="Arial"/>
        </w:rPr>
        <w:t xml:space="preserve">3.3 Layer Two: Elder Council (Senate of Wisdom)</w:t>
      </w:r>
      <w:bookmarkEnd w:id="24"/>
    </w:p>
    <w:p>
      <w:pPr>
        <w:pStyle w:val="FirstParagraph"/>
      </w:pPr>
      <w:r>
        <w:rPr>
          <w:rFonts w:ascii="Arial" w:hAnsi="Arial"/>
        </w:rPr>
        <w:t xml:space="preserve">The Elder Council is one of the most original designs in the entire system—a human institution that only holds veto power and has no active legislative power. Its existence is not to replace AIGC’s daily execution, but to provide a final layer of human judgment guardianship when AIGC encounters boundary cases, produces contested decisions, or faces external pressures.</w:t>
      </w:r>
    </w:p>
    <w:p>
      <w:pPr>
        <w:pStyle w:val="BlockText"/>
      </w:pPr>
      <w:r>
        <w:rPr>
          <w:i/>
          <w:rFonts w:ascii="Arial" w:hAnsi="Arial"/>
          <w:b/>
        </w:rPr>
        <w:t xml:space="preserve">The Elder Council only has brakes, not a steering wheel. This is not its limitation, but its intended design.</w:t>
      </w:r>
    </w:p>
    <w:p>
      <w:pPr>
        <w:pStyle w:val="FirstParagraph"/>
      </w:pPr>
      <w:r>
        <w:rPr>
          <w:rFonts w:ascii="Arial" w:hAnsi="Arial"/>
          <w:b/>
        </w:rPr>
        <w:t xml:space="preserve">Why Not Traditional Elected Politicians</w:t>
      </w:r>
    </w:p>
    <w:p>
      <w:pPr>
        <w:pStyle w:val="BodyText"/>
      </w:pPr>
      <w:r>
        <w:rPr>
          <w:rFonts w:ascii="Arial" w:hAnsi="Arial"/>
        </w:rPr>
        <w:t xml:space="preserve">When designing the second layer, the most obvious option was to use elected politicians to play this role. But this option was explicitly rejected, with reasons directly derived from the analysis of democratic failures in Chapter 1:</w:t>
      </w:r>
    </w:p>
    <w:p>
      <w:pPr>
        <w:numPr>
          <w:ilvl w:val="0"/>
          <w:numId w:val="1003"/>
        </w:numPr>
        <w:pStyle w:val="Compact"/>
      </w:pPr>
      <w:r>
        <w:rPr>
          <w:rFonts w:ascii="Arial" w:hAnsi="Arial"/>
        </w:rPr>
        <w:t xml:space="preserve">Elected politicians have strong short-term incentives (winning the next election), while the Elder Council requires long-term, non-partisan judgment</w:t>
      </w:r>
    </w:p>
    <w:p>
      <w:pPr>
        <w:numPr>
          <w:ilvl w:val="0"/>
          <w:numId w:val="1003"/>
        </w:numPr>
        <w:pStyle w:val="Compact"/>
      </w:pPr>
      <w:r>
        <w:rPr>
          <w:rFonts w:ascii="Arial" w:hAnsi="Arial"/>
        </w:rPr>
        <w:t xml:space="preserve">Politicians are constrained by party discipline and constituency interests, while the Elder Council requires people capable of making judgments independent of any specific interest group</w:t>
      </w:r>
    </w:p>
    <w:p>
      <w:pPr>
        <w:numPr>
          <w:ilvl w:val="0"/>
          <w:numId w:val="1003"/>
        </w:numPr>
        <w:pStyle w:val="Compact"/>
      </w:pPr>
      <w:r>
        <w:rPr>
          <w:rFonts w:ascii="Arial" w:hAnsi="Arial"/>
        </w:rPr>
        <w:t xml:space="preserve">Politicians typically have extensive business networks and social connections, while the Elder Council requires people with no direct interest in governance decisions</w:t>
      </w:r>
    </w:p>
    <w:p>
      <w:pPr>
        <w:pStyle w:val="FirstParagraph"/>
      </w:pPr>
      <w:r>
        <w:rPr>
          <w:rFonts w:ascii="Arial" w:hAnsi="Arial"/>
        </w:rPr>
        <w:t xml:space="preserve">The Elder Council’s design therefore takes a fundamentally different path: rather than having political competition produce members of this institution, it uses strict qualification screening and exclusion procedures to find people who are structurally least likely to be captured by interests.</w:t>
      </w:r>
    </w:p>
    <w:p>
      <w:pPr>
        <w:pStyle w:val="BodyText"/>
      </w:pPr>
      <w:r>
        <w:rPr>
          <w:rFonts w:ascii="Arial" w:hAnsi="Arial"/>
          <w:b/>
        </w:rPr>
        <w:t xml:space="preserve">Elder Council Membership: Positive Conditions and Exclusion Conditions</w:t>
      </w:r>
    </w:p>
    <w:tbl>
      <w:tblPr>
        <w:tblStyle w:val="Table"/>
        <w:tblW w:type="pct" w:w="5000.0"/>
        <w:tblLook w:firstRow="1"/>
      </w:tblPr>
      <w:tblGrid>
        <w:gridCol w:w="1131"/>
        <w:gridCol w:w="2990"/>
        <w:gridCol w:w="3798"/>
      </w:tblGrid>
      <w:tr>
        <w:trPr>
          <w:cnfStyle w:firstRow="1"/>
        </w:trPr>
        <w:tc>
          <w:tcPr>
            <w:tcBorders>
              <w:bottom w:val="single"/>
            </w:tcBorders>
            <w:vAlign w:val="bottom"/>
          </w:tcPr>
          <w:p>
            <w:pPr>
              <w:pStyle w:val="Compact"/>
              <w:jc w:val="left"/>
            </w:pPr>
            <w:r>
              <w:rPr>
                <w:b/>
              </w:rPr>
              <w:t xml:space="preserve">Dimension</w:t>
            </w:r>
          </w:p>
        </w:tc>
        <w:tc>
          <w:tcPr>
            <w:tcBorders>
              <w:bottom w:val="single"/>
            </w:tcBorders>
            <w:vAlign w:val="bottom"/>
          </w:tcPr>
          <w:p>
            <w:pPr>
              <w:pStyle w:val="Compact"/>
              <w:jc w:val="left"/>
            </w:pPr>
            <w:r>
              <w:rPr>
                <w:b/>
              </w:rPr>
              <w:t xml:space="preserve">Positive Conditions (Must Meet)</w:t>
            </w:r>
          </w:p>
        </w:tc>
        <w:tc>
          <w:tcPr>
            <w:tcBorders>
              <w:bottom w:val="single"/>
            </w:tcBorders>
            <w:vAlign w:val="bottom"/>
          </w:tcPr>
          <w:p>
            <w:pPr>
              <w:pStyle w:val="Compact"/>
              <w:jc w:val="left"/>
            </w:pPr>
            <w:r>
              <w:rPr>
                <w:b/>
              </w:rPr>
              <w:t xml:space="preserve">Exclusion Conditions (Any Trigger Excludes)</w:t>
            </w:r>
          </w:p>
        </w:tc>
      </w:tr>
      <w:tr>
        <w:tc>
          <w:p>
            <w:pPr>
              <w:pStyle w:val="Compact"/>
              <w:jc w:val="left"/>
            </w:pPr>
            <w:r>
              <w:t xml:space="preserve">Age</w:t>
            </w:r>
          </w:p>
        </w:tc>
        <w:tc>
          <w:p>
            <w:pPr>
              <w:pStyle w:val="Compact"/>
              <w:jc w:val="left"/>
            </w:pPr>
            <w:r>
              <w:t xml:space="preserve">≥65 years old</w:t>
            </w:r>
          </w:p>
        </w:tc>
        <w:tc>
          <w:p>
            <w:pPr>
              <w:pStyle w:val="Compact"/>
              <w:jc w:val="left"/>
            </w:pPr>
            <w:r>
              <w:t xml:space="preserve">None</w:t>
            </w:r>
          </w:p>
        </w:tc>
      </w:tr>
      <w:tr>
        <w:tc>
          <w:p>
            <w:pPr>
              <w:pStyle w:val="Compact"/>
              <w:jc w:val="left"/>
            </w:pPr>
            <w:r>
              <w:t xml:space="preserve">Legal Record</w:t>
            </w:r>
          </w:p>
        </w:tc>
        <w:tc>
          <w:p>
            <w:pPr>
              <w:pStyle w:val="Compact"/>
              <w:jc w:val="left"/>
            </w:pPr>
            <w:r>
              <w:t xml:space="preserve">No criminal record (including expunged cases)</w:t>
            </w:r>
          </w:p>
        </w:tc>
        <w:tc>
          <w:p>
            <w:pPr>
              <w:pStyle w:val="Compact"/>
              <w:jc w:val="left"/>
            </w:pPr>
            <w:r>
              <w:t xml:space="preserve">Any criminal conviction record</w:t>
            </w:r>
          </w:p>
        </w:tc>
      </w:tr>
      <w:tr>
        <w:tc>
          <w:p>
            <w:pPr>
              <w:pStyle w:val="Compact"/>
              <w:jc w:val="left"/>
            </w:pPr>
            <w:r>
              <w:t xml:space="preserve">Business Affiliation</w:t>
            </w:r>
          </w:p>
        </w:tc>
        <w:tc>
          <w:p>
            <w:pPr>
              <w:pStyle w:val="Compact"/>
              <w:jc w:val="left"/>
            </w:pPr>
            <w:r>
              <w:t xml:space="preserve">No active business interests</w:t>
            </w:r>
          </w:p>
        </w:tc>
        <w:tc>
          <w:p>
            <w:pPr>
              <w:pStyle w:val="Compact"/>
              <w:jc w:val="left"/>
            </w:pPr>
            <w:r>
              <w:t xml:space="preserve">Ownership of any public company equity exceeding 0.1%; serving as any corporate consultant</w:t>
            </w:r>
          </w:p>
        </w:tc>
      </w:tr>
      <w:tr>
        <w:tc>
          <w:p>
            <w:pPr>
              <w:pStyle w:val="Compact"/>
              <w:jc w:val="left"/>
            </w:pPr>
            <w:r>
              <w:t xml:space="preserve">Political Identity</w:t>
            </w:r>
          </w:p>
        </w:tc>
        <w:tc>
          <w:p>
            <w:pPr>
              <w:pStyle w:val="Compact"/>
              <w:jc w:val="left"/>
            </w:pPr>
            <w:r>
              <w:t xml:space="preserve">No party membership (current or within past 5 years)</w:t>
            </w:r>
          </w:p>
        </w:tc>
        <w:tc>
          <w:p>
            <w:pPr>
              <w:pStyle w:val="Compact"/>
              <w:jc w:val="left"/>
            </w:pPr>
            <w:r>
              <w:t xml:space="preserve">Ever held paid position in any government or political party (within past 10 years)</w:t>
            </w:r>
          </w:p>
        </w:tc>
      </w:tr>
      <w:tr>
        <w:tc>
          <w:p>
            <w:pPr>
              <w:pStyle w:val="Compact"/>
              <w:jc w:val="left"/>
            </w:pPr>
            <w:r>
              <w:t xml:space="preserve">AI Reputation Score</w:t>
            </w:r>
          </w:p>
        </w:tc>
        <w:tc>
          <w:p>
            <w:pPr>
              <w:pStyle w:val="Compact"/>
              <w:jc w:val="left"/>
            </w:pPr>
            <w:r>
              <w:t xml:space="preserve">≥95 (out of 100)</w:t>
            </w:r>
          </w:p>
        </w:tc>
        <w:tc>
          <w:p>
            <w:pPr>
              <w:pStyle w:val="Compact"/>
              <w:jc w:val="left"/>
            </w:pPr>
            <w:r>
              <w:t xml:space="preserve">Below 90 automatically disqualifies</w:t>
            </w:r>
          </w:p>
        </w:tc>
      </w:tr>
      <w:tr>
        <w:tc>
          <w:p>
            <w:pPr>
              <w:pStyle w:val="Compact"/>
              <w:jc w:val="left"/>
            </w:pPr>
            <w:r>
              <w:t xml:space="preserve">Social Contribution Record</w:t>
            </w:r>
          </w:p>
        </w:tc>
        <w:tc>
          <w:p>
            <w:pPr>
              <w:pStyle w:val="Compact"/>
              <w:jc w:val="left"/>
            </w:pPr>
            <w:r>
              <w:t xml:space="preserve">Verifiable long-term public service or professional contribution record</w:t>
            </w:r>
          </w:p>
        </w:tc>
        <w:tc>
          <w:p>
            <w:pPr>
              <w:pStyle w:val="Compact"/>
              <w:jc w:val="left"/>
            </w:pPr>
            <w:r>
              <w:t xml:space="preserve">Pure commercial career history without public contribution record</w:t>
            </w:r>
          </w:p>
        </w:tc>
      </w:tr>
      <w:tr>
        <w:tc>
          <w:p>
            <w:pPr>
              <w:pStyle w:val="Compact"/>
              <w:jc w:val="left"/>
            </w:pPr>
            <w:r>
              <w:t xml:space="preserve">Cognitive Ability</w:t>
            </w:r>
          </w:p>
        </w:tc>
        <w:tc>
          <w:p>
            <w:pPr>
              <w:pStyle w:val="Compact"/>
              <w:jc w:val="left"/>
            </w:pPr>
            <w:r>
              <w:t xml:space="preserve">Passed independent cognitive ability assessment</w:t>
            </w:r>
          </w:p>
        </w:tc>
        <w:tc>
          <w:p>
            <w:pPr>
              <w:pStyle w:val="Compact"/>
              <w:jc w:val="left"/>
            </w:pPr>
            <w:r>
              <w:t xml:space="preserve">Assessment results below baseline</w:t>
            </w:r>
          </w:p>
        </w:tc>
      </w:tr>
    </w:tbl>
    <w:p>
      <w:pPr>
        <w:pStyle w:val="BodyText"/>
      </w:pPr>
      <w:r>
        <w:rPr>
          <w:rFonts w:ascii="Arial" w:hAnsi="Arial"/>
        </w:rPr>
        <w:t xml:space="preserve">Candidates meeting all positive conditions and triggering no exclusion conditions enter the Elder Council candidate pool. The final selection from the candidate pool uses a stratified random selection mechanism: first stratified by region, cultural background, and professional field, then randomly selected within each stratum, ensuring the Elder Council’s composition is both representative and cannot be manipulated.</w:t>
      </w:r>
    </w:p>
    <w:p>
      <w:pPr>
        <w:pStyle w:val="BodyText"/>
      </w:pPr>
      <w:r>
        <w:rPr>
          <w:rFonts w:ascii="Arial" w:hAnsi="Arial"/>
          <w:b/>
        </w:rPr>
        <w:t xml:space="preserve">Elder Council’s Authority Boundaries: Precise Institutional Design</w:t>
      </w:r>
    </w:p>
    <w:p>
      <w:pPr>
        <w:pStyle w:val="BodyText"/>
      </w:pPr>
      <w:r>
        <w:rPr>
          <w:rFonts w:ascii="Arial" w:hAnsi="Arial"/>
        </w:rPr>
        <w:t xml:space="preserve">The Elder Council’s power is limited, enumerated, and bounded. This precision is key to preventing the Elder Council itself from becoming a new source of power corruption.</w:t>
      </w:r>
    </w:p>
    <w:p>
      <w:pPr>
        <w:pStyle w:val="BodyText"/>
      </w:pPr>
      <w:r>
        <w:rPr>
          <w:rFonts w:ascii="Arial" w:hAnsi="Arial"/>
        </w:rPr>
        <w:t xml:space="preserve">The Elder Council’s any veto decision must be accompanied by written reasons specifying which specific constitutional provision or fundamental principle has been violated. Vetoes without written reasoning are invalid. All veto decisions and written reasons are immediately published on-chain for any citizen to review.</w:t>
      </w:r>
    </w:p>
    <w:p>
      <w:pPr>
        <w:pStyle w:val="BodyText"/>
      </w:pPr>
      <w:r>
        <w:rPr>
          <w:rFonts w:ascii="Arial" w:hAnsi="Arial"/>
          <w:b/>
        </w:rPr>
        <w:t xml:space="preserve">Elder Council Operating Mechanisms: Preventing Itself from Becoming a Power Node</w:t>
      </w:r>
    </w:p>
    <w:p>
      <w:pPr>
        <w:pStyle w:val="BodyText"/>
      </w:pPr>
      <w:r>
        <w:rPr>
          <w:rFonts w:ascii="Arial" w:hAnsi="Arial"/>
        </w:rPr>
        <w:t xml:space="preserve">The Elder Council’s own operations must also be strictly constrained to prevent it from gradually evolving into a new center of power:</w:t>
      </w:r>
    </w:p>
    <w:p>
      <w:pPr>
        <w:numPr>
          <w:ilvl w:val="0"/>
          <w:numId w:val="1004"/>
        </w:numPr>
      </w:pPr>
      <w:r>
        <w:rPr>
          <w:rFonts w:ascii="Arial" w:hAnsi="Arial"/>
          <w:b/>
        </w:rPr>
        <w:t xml:space="preserve">Rotation System</w:t>
      </w:r>
      <w:r>
        <w:rPr>
          <w:rFonts w:ascii="Arial" w:hAnsi="Arial"/>
        </w:rPr>
        <w:t xml:space="preserve">: Elder Council members serve three-year terms, are not eligible for re-election, and automatically retire upon term completion. There are no lifetime elders.</w:t>
      </w:r>
    </w:p>
    <w:p>
      <w:pPr>
        <w:numPr>
          <w:ilvl w:val="0"/>
          <w:numId w:val="1004"/>
        </w:numPr>
      </w:pPr>
      <w:r>
        <w:rPr>
          <w:rFonts w:ascii="Arial" w:hAnsi="Arial"/>
          <w:b/>
        </w:rPr>
        <w:t xml:space="preserve">Meeting Transparency</w:t>
      </w:r>
      <w:r>
        <w:rPr>
          <w:rFonts w:ascii="Arial" w:hAnsi="Arial"/>
        </w:rPr>
        <w:t xml:space="preserve">: All Elder Council meetings are recorded in full and published on-chain (with cryptographic protection against tampering of speech content), with only a 48-hour delayed publication allowed for discussions involving security-sensitive matters.</w:t>
      </w:r>
    </w:p>
    <w:p>
      <w:pPr>
        <w:numPr>
          <w:ilvl w:val="0"/>
          <w:numId w:val="1004"/>
        </w:numPr>
      </w:pPr>
      <w:r>
        <w:rPr>
          <w:rFonts w:ascii="Arial" w:hAnsi="Arial"/>
          <w:b/>
        </w:rPr>
        <w:t xml:space="preserve">Balancing Personal Immunity and Public Accountability</w:t>
      </w:r>
      <w:r>
        <w:rPr>
          <w:rFonts w:ascii="Arial" w:hAnsi="Arial"/>
        </w:rPr>
        <w:t xml:space="preserve">: Elder Council members are immune from civil lawsuits for their official actions, but all their voting records are permanently public and subject to historical evaluation.</w:t>
      </w:r>
    </w:p>
    <w:p>
      <w:pPr>
        <w:numPr>
          <w:ilvl w:val="0"/>
          <w:numId w:val="1004"/>
        </w:numPr>
      </w:pPr>
      <w:r>
        <w:rPr>
          <w:rFonts w:ascii="Arial" w:hAnsi="Arial"/>
          <w:b/>
        </w:rPr>
        <w:t xml:space="preserve">Prohibition of Private Lobbying</w:t>
      </w:r>
      <w:r>
        <w:rPr>
          <w:rFonts w:ascii="Arial" w:hAnsi="Arial"/>
        </w:rPr>
        <w:t xml:space="preserve">: Any attempt to influence Elder Council members outside of public proceedings constitutes a serious violation recordable on-chain.</w:t>
      </w:r>
    </w:p>
    <w:p>
      <w:pPr>
        <w:pStyle w:val="FirstParagraph"/>
      </w:pPr>
      <w:r>
        <w:rPr>
          <w:rFonts w:ascii="Arial" w:hAnsi="Arial"/>
          <w:b/>
        </w:rPr>
        <w:t xml:space="preserve">3.4 Layer Three: Citizen Consensus Layer</w:t>
      </w:r>
    </w:p>
    <w:p>
      <w:pPr>
        <w:pStyle w:val="BodyText"/>
      </w:pPr>
      <w:r>
        <w:rPr>
          <w:rFonts w:ascii="Arial" w:hAnsi="Arial"/>
        </w:rPr>
        <w:t xml:space="preserve">The Citizen Consensus Layer is the foundation of legitimacy for the entire governance system. All power from the first two layers ultimately derives from citizens’ democratic authorization; the Citizen Consensus Layer is the mechanism through which this authorization is continuously updated and expressed.</w:t>
      </w:r>
    </w:p>
    <w:p>
      <w:pPr>
        <w:pStyle w:val="BodyText"/>
      </w:pPr>
      <w:r>
        <w:rPr>
          <w:rFonts w:ascii="Arial" w:hAnsi="Arial"/>
          <w:b/>
        </w:rPr>
        <w:t xml:space="preserve">On-Chain Voting: Not Merely a Digital Ballot Box</w:t>
      </w:r>
    </w:p>
    <w:p>
      <w:pPr>
        <w:pStyle w:val="BodyText"/>
      </w:pPr>
      <w:r>
        <w:rPr>
          <w:rFonts w:ascii="Arial" w:hAnsi="Arial"/>
        </w:rPr>
        <w:t xml:space="preserve">The Citizen Consensus Layer does not simply move traditional voting online but fundamentally redesigns the technical architecture of democratic participation. The three core problems of traditional voting—tamperable vote counting, poor-quality decision information, and excessive participation costs—are all specifically addressed in the on-chain voting system.</w:t>
      </w:r>
    </w:p>
    <w:p>
      <w:pPr>
        <w:pStyle w:val="BodyText"/>
      </w:pPr>
      <w:r>
        <w:rPr>
          <w:rFonts w:ascii="Arial" w:hAnsi="Arial"/>
          <w:b/>
        </w:rPr>
        <w:t xml:space="preserve">Tamper-Proof Mechanism</w:t>
      </w:r>
      <w:r>
        <w:rPr>
          <w:rFonts w:ascii="Arial" w:hAnsi="Arial"/>
        </w:rPr>
        <w:t xml:space="preserve">: Voting is based on AI-Citizen ID biometric verification, one person one vote, with voting records stored on multi-node distributed ledgers. Any single-point data tampering will be detected and rejected by other nodes’ verification. The counting process is completely transparent, and any citizen can independently verify the total vote count.</w:t>
      </w:r>
    </w:p>
    <w:p>
      <w:pPr>
        <w:pStyle w:val="BodyText"/>
      </w:pPr>
      <w:r>
        <w:rPr>
          <w:rFonts w:ascii="Arial" w:hAnsi="Arial"/>
          <w:b/>
        </w:rPr>
        <w:t xml:space="preserve">Information Quality Mechanism</w:t>
      </w:r>
      <w:r>
        <w:rPr>
          <w:rFonts w:ascii="Arial" w:hAnsi="Arial"/>
        </w:rPr>
        <w:t xml:space="preserve">: For each proposal submitted to Popular Vote, AIGC must generate a standardized impact assessment report before voting begins, covering: expected economic impact, social impact, differential impact on different groups, implementation costs, and potential risks. This report is a neutral technical document, not promotional material for or against. Citizens must confirm they have read the summary before voting.</w:t>
      </w:r>
    </w:p>
    <w:p>
      <w:pPr>
        <w:pStyle w:val="BodyText"/>
      </w:pPr>
      <w:r>
        <w:rPr>
          <w:rFonts w:ascii="Arial" w:hAnsi="Arial"/>
          <w:b/>
        </w:rPr>
        <w:t xml:space="preserve">Participation Cost Mechanism</w:t>
      </w:r>
      <w:r>
        <w:rPr>
          <w:rFonts w:ascii="Arial" w:hAnsi="Arial"/>
        </w:rPr>
        <w:t xml:space="preserve">: Voting is completed via mobile phone, with the entire process designed to take no more than 90 seconds. Major proposals open a 7-day voting window, while routine proposals have a 3-day window. For citizens who choose not to vote, the system records</w:t>
      </w:r>
      <w:r>
        <w:rPr>
          <w:rFonts w:ascii="Arial" w:hAnsi="Arial"/>
        </w:rPr>
        <w:t xml:space="preserve"> </w:t>
      </w:r>
      <w:r>
        <w:rPr>
          <w:rFonts w:ascii="Arial" w:hAnsi="Arial"/>
        </w:rPr>
        <w:t xml:space="preserve">“</w:t>
      </w:r>
      <w:r>
        <w:rPr>
          <w:rFonts w:ascii="Arial" w:hAnsi="Arial"/>
        </w:rPr>
        <w:t xml:space="preserve">abstention</w:t>
      </w:r>
      <w:r>
        <w:rPr>
          <w:rFonts w:ascii="Arial" w:hAnsi="Arial"/>
        </w:rPr>
        <w:t xml:space="preserve">”</w:t>
      </w:r>
      <w:r>
        <w:rPr>
          <w:rFonts w:ascii="Arial" w:hAnsi="Arial"/>
        </w:rPr>
        <w:t xml:space="preserve"> </w:t>
      </w:r>
      <w:r>
        <w:rPr>
          <w:rFonts w:ascii="Arial" w:hAnsi="Arial"/>
        </w:rPr>
        <w:t xml:space="preserve">without affecting their other civil rights.</w:t>
      </w:r>
    </w:p>
    <w:p>
      <w:pPr>
        <w:pStyle w:val="BodyText"/>
      </w:pPr>
      <w:r>
        <w:rPr>
          <w:rFonts w:ascii="Arial" w:hAnsi="Arial"/>
          <w:b/>
        </w:rPr>
        <w:t xml:space="preserve">Which Matters Must Go to Popular Vote</w:t>
      </w:r>
    </w:p>
    <w:p>
      <w:pPr>
        <w:pStyle w:val="BodyText"/>
      </w:pPr>
      <w:r>
        <w:rPr>
          <w:rFonts w:ascii="Arial" w:hAnsi="Arial"/>
        </w:rPr>
        <w:t xml:space="preserve">Not everything should go to Popular Vote—excessive voting frequency leads to citizen fatigue and reduces participation quality in important decisions. Popular Vote is a mechanism reserved for truly significant decisions.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Category</w:t>
            </w:r>
          </w:p>
        </w:tc>
        <w:tc>
          <w:tcPr>
            <w:tcBorders>
              <w:bottom w:val="single"/>
            </w:tcBorders>
            <w:vAlign w:val="bottom"/>
          </w:tcPr>
          <w:p>
            <w:pPr>
              <w:pStyle w:val="Compact"/>
              <w:jc w:val="left"/>
            </w:pPr>
            <w:r>
              <w:rPr>
                <w:b/>
              </w:rPr>
              <w:t xml:space="preserve">Trigger Condition</w:t>
            </w:r>
          </w:p>
        </w:tc>
        <w:tc>
          <w:tcPr>
            <w:tcBorders>
              <w:bottom w:val="single"/>
            </w:tcBorders>
            <w:vAlign w:val="bottom"/>
          </w:tcPr>
          <w:p>
            <w:pPr>
              <w:pStyle w:val="Compact"/>
              <w:jc w:val="left"/>
            </w:pPr>
            <w:r>
              <w:rPr>
                <w:b/>
              </w:rPr>
              <w:t xml:space="preserve">Passing Threshold</w:t>
            </w:r>
          </w:p>
        </w:tc>
      </w:tr>
      <w:tr>
        <w:tc>
          <w:p>
            <w:pPr>
              <w:pStyle w:val="Compact"/>
              <w:jc w:val="left"/>
            </w:pPr>
            <w:r>
              <w:t xml:space="preserve">War and Military Action</w:t>
            </w:r>
          </w:p>
        </w:tc>
        <w:tc>
          <w:p>
            <w:pPr>
              <w:pStyle w:val="Compact"/>
              <w:jc w:val="left"/>
            </w:pPr>
            <w:r>
              <w:t xml:space="preserve">Any decision involving the use of force</w:t>
            </w:r>
          </w:p>
        </w:tc>
        <w:tc>
          <w:p>
            <w:pPr>
              <w:pStyle w:val="Compact"/>
              <w:jc w:val="left"/>
            </w:pPr>
            <w:r>
              <w:t xml:space="preserve">Two-thirds majority</w:t>
            </w:r>
          </w:p>
        </w:tc>
      </w:tr>
      <w:tr>
        <w:tc>
          <w:p>
            <w:pPr>
              <w:pStyle w:val="Compact"/>
              <w:jc w:val="left"/>
            </w:pPr>
            <w:r>
              <w:t xml:space="preserve">Constitutional Amendment</w:t>
            </w:r>
          </w:p>
        </w:tc>
        <w:tc>
          <w:p>
            <w:pPr>
              <w:pStyle w:val="Compact"/>
              <w:jc w:val="left"/>
            </w:pPr>
            <w:r>
              <w:t xml:space="preserve">Any modification to any provision of the Constitution</w:t>
            </w:r>
          </w:p>
        </w:tc>
        <w:tc>
          <w:p>
            <w:pPr>
              <w:pStyle w:val="Compact"/>
              <w:jc w:val="left"/>
            </w:pPr>
            <w:r>
              <w:t xml:space="preserve">80% majority + unanimous passage by the Global Ethics Committee</w:t>
            </w:r>
          </w:p>
        </w:tc>
      </w:tr>
      <w:tr>
        <w:tc>
          <w:p>
            <w:pPr>
              <w:pStyle w:val="Compact"/>
              <w:jc w:val="left"/>
            </w:pPr>
            <w:r>
              <w:t xml:space="preserve">Major Fiscal Policy</w:t>
            </w:r>
          </w:p>
        </w:tc>
        <w:tc>
          <w:p>
            <w:pPr>
              <w:pStyle w:val="Compact"/>
              <w:jc w:val="left"/>
            </w:pPr>
            <w:r>
              <w:t xml:space="preserve">Individual policies with annual expenditures exceeding 5% of GDP</w:t>
            </w:r>
          </w:p>
        </w:tc>
        <w:tc>
          <w:p>
            <w:pPr>
              <w:pStyle w:val="Compact"/>
              <w:jc w:val="left"/>
            </w:pPr>
            <w:r>
              <w:t xml:space="preserve">Simple majority</w:t>
            </w:r>
          </w:p>
        </w:tc>
      </w:tr>
      <w:tr>
        <w:tc>
          <w:p>
            <w:pPr>
              <w:pStyle w:val="Compact"/>
              <w:jc w:val="left"/>
            </w:pPr>
            <w:r>
              <w:t xml:space="preserve">International Treaties</w:t>
            </w:r>
          </w:p>
        </w:tc>
        <w:tc>
          <w:p>
            <w:pPr>
              <w:pStyle w:val="Compact"/>
              <w:jc w:val="left"/>
            </w:pPr>
            <w:r>
              <w:t xml:space="preserve">International agreements involving civil rights or national sovereignty</w:t>
            </w:r>
          </w:p>
        </w:tc>
        <w:tc>
          <w:p>
            <w:pPr>
              <w:pStyle w:val="Compact"/>
              <w:jc w:val="left"/>
            </w:pPr>
            <w:r>
              <w:t xml:space="preserve">Two-thirds majority</w:t>
            </w:r>
          </w:p>
        </w:tc>
      </w:tr>
      <w:tr>
        <w:tc>
          <w:p>
            <w:pPr>
              <w:pStyle w:val="Compact"/>
              <w:jc w:val="left"/>
            </w:pPr>
            <w:r>
              <w:t xml:space="preserve">Introduction of New Technology</w:t>
            </w:r>
          </w:p>
        </w:tc>
        <w:tc>
          <w:p>
            <w:pPr>
              <w:pStyle w:val="Compact"/>
              <w:jc w:val="left"/>
            </w:pPr>
            <w:r>
              <w:t xml:space="preserve">Introduction of unverified new AI capabilities into the governance system</w:t>
            </w:r>
          </w:p>
        </w:tc>
        <w:tc>
          <w:p>
            <w:pPr>
              <w:pStyle w:val="Compact"/>
              <w:jc w:val="left"/>
            </w:pPr>
            <w:r>
              <w:t xml:space="preserve">Simple majority</w:t>
            </w:r>
          </w:p>
        </w:tc>
      </w:tr>
      <w:tr>
        <w:tc>
          <w:p>
            <w:pPr>
              <w:pStyle w:val="Compact"/>
              <w:jc w:val="left"/>
            </w:pPr>
            <w:r>
              <w:t xml:space="preserve">Elder Council Member Confirmation</w:t>
            </w:r>
          </w:p>
        </w:tc>
        <w:tc>
          <w:p>
            <w:pPr>
              <w:pStyle w:val="Compact"/>
              <w:jc w:val="left"/>
            </w:pPr>
            <w:r>
              <w:t xml:space="preserve">Citizen confirmation of final members from the candidate pool</w:t>
            </w:r>
          </w:p>
        </w:tc>
        <w:tc>
          <w:p>
            <w:pPr>
              <w:pStyle w:val="Compact"/>
              <w:jc w:val="left"/>
            </w:pPr>
            <w:r>
              <w:t xml:space="preserve">Simple majority</w:t>
            </w:r>
          </w:p>
        </w:tc>
      </w:tr>
      <w:tr>
        <w:tc>
          <w:p>
            <w:pPr>
              <w:pStyle w:val="Compact"/>
              <w:jc w:val="left"/>
            </w:pPr>
            <w:r>
              <w:t xml:space="preserve">Ethical Weight Model Update</w:t>
            </w:r>
          </w:p>
        </w:tc>
        <w:tc>
          <w:p>
            <w:pPr>
              <w:pStyle w:val="Compact"/>
              <w:jc w:val="left"/>
            </w:pPr>
            <w:r>
              <w:t xml:space="preserve">Modification of ethical weight parameters used by AIGC</w:t>
            </w:r>
          </w:p>
        </w:tc>
        <w:tc>
          <w:p>
            <w:pPr>
              <w:pStyle w:val="Compact"/>
              <w:jc w:val="left"/>
            </w:pPr>
            <w:r>
              <w:t xml:space="preserve">Simple majority + 30-day public notice period</w:t>
            </w:r>
          </w:p>
        </w:tc>
      </w:tr>
      <w:tr>
        <w:tc>
          <w:p>
            <w:pPr>
              <w:pStyle w:val="Compact"/>
              <w:jc w:val="left"/>
            </w:pPr>
            <w:r>
              <w:t xml:space="preserve">Emergency Declaration</w:t>
            </w:r>
          </w:p>
        </w:tc>
        <w:tc>
          <w:p>
            <w:pPr>
              <w:pStyle w:val="Compact"/>
              <w:jc w:val="left"/>
            </w:pPr>
            <w:r>
              <w:t xml:space="preserve">Governance system suspension exceeding 72 hours</w:t>
            </w:r>
          </w:p>
        </w:tc>
        <w:tc>
          <w:p>
            <w:pPr>
              <w:pStyle w:val="Compact"/>
              <w:jc w:val="left"/>
            </w:pPr>
            <w:r>
              <w:t xml:space="preserve">Two-thirds majority</w:t>
            </w:r>
          </w:p>
        </w:tc>
      </w:tr>
    </w:tbl>
    <w:p>
      <w:pPr>
        <w:pStyle w:val="BodyText"/>
      </w:pPr>
      <w:r>
        <w:rPr>
          <w:rFonts w:ascii="Arial" w:hAnsi="Arial"/>
          <w:b/>
        </w:rPr>
        <w:t xml:space="preserve">Preventing Popular Vote Manipulation: Three Lines of Defense</w:t>
      </w:r>
    </w:p>
    <w:p>
      <w:pPr>
        <w:pStyle w:val="BodyText"/>
      </w:pPr>
      <w:r>
        <w:rPr>
          <w:rFonts w:ascii="Arial" w:hAnsi="Arial"/>
        </w:rPr>
        <w:t xml:space="preserve">The greatest risk of direct popular democracy is emotional short-term decision-making and carefully orchestrated public opinion manipulation. The Constitutional AI Governance system has designed three lines of defense:</w:t>
      </w:r>
    </w:p>
    <w:p>
      <w:pPr>
        <w:numPr>
          <w:ilvl w:val="0"/>
          <w:numId w:val="1005"/>
        </w:numPr>
      </w:pPr>
      <w:r>
        <w:rPr>
          <w:rFonts w:ascii="Arial" w:hAnsi="Arial"/>
          <w:b/>
        </w:rPr>
        <w:t xml:space="preserve">Constitutional Compliance Check</w:t>
      </w:r>
      <w:r>
        <w:rPr>
          <w:rFonts w:ascii="Arial" w:hAnsi="Arial"/>
        </w:rPr>
        <w:t xml:space="preserve">: Before any proposal enters Popular Vote, it must pass AIGC’s automated constitutional compliance review. Any proposal that would infringe upon constitutionally guaranteed fundamental civil rights cannot enter the voting process. This ensures that the majority cannot legally infringe upon minority fundamental rights through direct democracy.</w:t>
      </w:r>
    </w:p>
    <w:p>
      <w:pPr>
        <w:numPr>
          <w:ilvl w:val="0"/>
          <w:numId w:val="1005"/>
        </w:numPr>
      </w:pPr>
      <w:r>
        <w:rPr>
          <w:rFonts w:ascii="Arial" w:hAnsi="Arial"/>
          <w:b/>
        </w:rPr>
        <w:t xml:space="preserve">Cooling-Off Period Mechanism</w:t>
      </w:r>
      <w:r>
        <w:rPr>
          <w:rFonts w:ascii="Arial" w:hAnsi="Arial"/>
        </w:rPr>
        <w:t xml:space="preserve">: All major proposals (matters requiring a two-thirds majority or higher threshold) have a mandatory 30-day public notice and discussion period before formal voting. During these 30 days, any citizen may submit objections; AIGC categorizes and publicly displays objections by argument type, and the proposers are obligated to make public responses to major objections.</w:t>
      </w:r>
    </w:p>
    <w:p>
      <w:pPr>
        <w:numPr>
          <w:ilvl w:val="0"/>
          <w:numId w:val="1005"/>
        </w:numPr>
      </w:pPr>
      <w:r>
        <w:rPr>
          <w:rFonts w:ascii="Arial" w:hAnsi="Arial"/>
          <w:b/>
        </w:rPr>
        <w:t xml:space="preserve">Information Environment Protection</w:t>
      </w:r>
      <w:r>
        <w:rPr>
          <w:rFonts w:ascii="Arial" w:hAnsi="Arial"/>
        </w:rPr>
        <w:t xml:space="preserve">: During the voting window, AIGC monitors and flags deliberate misleading dissemination about proposals (based on deviation scoring from verified facts). Flags are not deleted but are accompanied by accuracy notes next to the information, allowing citizens to see context when encountering disputed information.</w:t>
      </w:r>
    </w:p>
    <w:p>
      <w:pPr>
        <w:pStyle w:val="FirstParagraph"/>
      </w:pPr>
      <w:r>
        <w:rPr>
          <w:rFonts w:ascii="Arial" w:hAnsi="Arial"/>
          <w:b/>
        </w:rPr>
        <w:t xml:space="preserve">3.5 Coordination Between the Three Layers: A Full Process Simulation of a Complete Scenario</w:t>
      </w:r>
    </w:p>
    <w:p>
      <w:pPr>
        <w:pStyle w:val="BodyText"/>
      </w:pPr>
      <w:r>
        <w:rPr>
          <w:rFonts w:ascii="Arial" w:hAnsi="Arial"/>
        </w:rPr>
        <w:t xml:space="preserve">Abstract architectural descriptions can only be truly understood through a complete operational scenario. Below, through the entire process of a specific policy proposal from inception to execution, we demonstrate how the three-layer governance structure coordinates.</w:t>
      </w:r>
    </w:p>
    <w:p>
      <w:pPr>
        <w:pStyle w:val="BodyText"/>
      </w:pPr>
      <w:r>
        <w:rPr>
          <w:rFonts w:ascii="Arial" w:hAnsi="Arial"/>
          <w:b/>
        </w:rPr>
        <w:t xml:space="preserve">Scenario: Public Transit Route Reorganization Proposal for a Certain City District</w:t>
      </w:r>
    </w:p>
    <w:p>
      <w:pPr>
        <w:pStyle w:val="BodyText"/>
      </w:pPr>
      <w:r>
        <w:rPr>
          <w:rFonts w:ascii="Arial" w:hAnsi="Arial"/>
        </w:rPr>
        <w:t xml:space="preserve">Background: Through analysis of residents’ travel data, AIGC’s urban planning module identified a significant gap in public transit coverage in a certain northern district of the city and proposed a reorganization plan including two new bus routes and adjustment of three existing routes.</w:t>
      </w:r>
    </w:p>
    <w:p>
      <w:pPr>
        <w:pStyle w:val="BodyText"/>
      </w:pPr>
      <w:r>
        <w:rPr>
          <w:rFonts w:ascii="Arial" w:hAnsi="Arial"/>
          <w:b/>
        </w:rPr>
        <w:t xml:space="preserve">Step One: AIGC Generates Proposal (Automated)</w:t>
      </w:r>
    </w:p>
    <w:p>
      <w:pPr>
        <w:pStyle w:val="BodyText"/>
      </w:pPr>
      <w:r>
        <w:rPr>
          <w:rFonts w:ascii="Arial" w:hAnsi="Arial"/>
        </w:rPr>
        <w:t xml:space="preserve">Based on the past 18 months of travel data, population distribution changes, and existing route passenger loads, the urban planning module generated a complete route reorganization plan. The plan includes: expected number of beneficiary residents (87,000), implementation cost (equivalent to 3.2% of the city’s annual transit budget), carbon emission change forecast (4.1% reduction), and analysis of impacts on existing route passengers. All data and reasoning chains were simultaneously generated and recorded on-chain.</w:t>
      </w:r>
    </w:p>
    <w:p>
      <w:pPr>
        <w:pStyle w:val="BodyText"/>
      </w:pPr>
      <w:r>
        <w:rPr>
          <w:rFonts w:ascii="Arial" w:hAnsi="Arial"/>
          <w:b/>
        </w:rPr>
        <w:t xml:space="preserve">Step Two: Automated Constitutional Compliance Review (Automated, &lt;30 minutes)</w:t>
      </w:r>
    </w:p>
    <w:p>
      <w:pPr>
        <w:pStyle w:val="BodyText"/>
      </w:pPr>
      <w:r>
        <w:rPr>
          <w:rFonts w:ascii="Arial" w:hAnsi="Arial"/>
        </w:rPr>
        <w:t xml:space="preserve">AIGC’s regulatory execution module conducted a constitutional compliance check on the plan. The check covers: whether the plan involves any forced relocation of residents or rights violations; whether budget use is within annual authorization; whether Popular Vote is required (not required in this case, as the cost is below the GDP 5% trigger threshold). Result: Compliant, automatically entering the administrative review process.</w:t>
      </w:r>
    </w:p>
    <w:p>
      <w:pPr>
        <w:pStyle w:val="BodyText"/>
      </w:pPr>
      <w:r>
        <w:rPr>
          <w:rFonts w:ascii="Arial" w:hAnsi="Arial"/>
          <w:b/>
        </w:rPr>
        <w:t xml:space="preserve">Step Three: Public Notice and Public Feedback Period (14 days)</w:t>
      </w:r>
    </w:p>
    <w:p>
      <w:pPr>
        <w:pStyle w:val="BodyText"/>
      </w:pPr>
      <w:r>
        <w:rPr>
          <w:rFonts w:ascii="Arial" w:hAnsi="Arial"/>
        </w:rPr>
        <w:t xml:space="preserve">The plan entered a 14-day public notice period, during which all residents could submit opinions through the on-chain system. AIGC categorized the 1,243 opinions received: 732 in support, 341 opposed (primarily concerning reduced frequencies on specific existing routes), and 170 requesting more information. AIGC submitted the main arguments of objections to the urban planning module, requesting targeted supplementary analysis.</w:t>
      </w:r>
    </w:p>
    <w:p>
      <w:pPr>
        <w:pStyle w:val="BodyText"/>
      </w:pPr>
      <w:r>
        <w:rPr>
          <w:rFonts w:ascii="Arial" w:hAnsi="Arial"/>
          <w:b/>
        </w:rPr>
        <w:t xml:space="preserve">Step Four: Elder Council Review (if triggered)</w:t>
      </w:r>
    </w:p>
    <w:p>
      <w:pPr>
        <w:pStyle w:val="BodyText"/>
      </w:pPr>
      <w:r>
        <w:rPr>
          <w:rFonts w:ascii="Arial" w:hAnsi="Arial"/>
        </w:rPr>
        <w:t xml:space="preserve">In this case, during the public notice period, two citizens submitted formal petitions to the Elder Council (any citizen may initiate; requires at least 100 citizen co-signatures), requesting that the Elder Council review whether the impact on low-income residential areas in the city’s northern district had been adequately assessed. The Elder Council held a review meeting and requested that AIGC generate a supplementary impact assessment stratified by economic status. The supplementary report showed: the coverage improvement for low-income areas was actually above average. The Elder Council voted 9:6 to not exercise veto power, allowing the plan to proceed.</w:t>
      </w:r>
    </w:p>
    <w:p>
      <w:pPr>
        <w:pStyle w:val="BodyText"/>
      </w:pPr>
      <w:r>
        <w:rPr>
          <w:rFonts w:ascii="Arial" w:hAnsi="Arial"/>
          <w:b/>
        </w:rPr>
        <w:t xml:space="preserve">Step Five: Execution and Monitoring (Automated, Ongoing)</w:t>
      </w:r>
    </w:p>
    <w:p>
      <w:pPr>
        <w:pStyle w:val="BodyText"/>
      </w:pPr>
      <w:r>
        <w:rPr>
          <w:rFonts w:ascii="Arial" w:hAnsi="Arial"/>
        </w:rPr>
        <w:t xml:space="preserve">The plan entered the execution phase. AIGC’s financial management module automatically allocated funds; the urban planning module continuously monitored execution progress; the risk early warning module tracked deviations between actual operational data and predicted data. Three months after operations began, AIGC generated the first effectiveness report: actual beneficiary residents 91,200 (4.8% above prediction), carbon emission reduction 3.7% (slightly below prediction). The report was automatically published on-chain for all citizens to review.</w:t>
      </w:r>
    </w:p>
    <w:p>
      <w:pPr>
        <w:pStyle w:val="BodyText"/>
      </w:pPr>
      <w:r>
        <w:rPr>
          <w:rFonts w:ascii="Arial" w:hAnsi="Arial"/>
        </w:rPr>
        <w:t xml:space="preserve">This complete process demonstrates how the three-layer architecture operates in practice: AIGC handles all rule-based aspects; the Elder Council intervenes only when triggered by citizen petition; Popular Vote was not triggered in this case (as it did not exceed the trigger threshold). The entire process from proposal generation to execution commencement took approximately 22 days—compared to traditional urban planning processes, where plans of similar complexity typically require 6 to 18 months.</w:t>
      </w:r>
    </w:p>
    <w:p>
      <w:pPr>
        <w:pStyle w:val="BodyText"/>
      </w:pPr>
      <w:r>
        <w:rPr>
          <w:rFonts w:ascii="Arial" w:hAnsi="Arial"/>
          <w:b/>
        </w:rPr>
        <w:t xml:space="preserve">3.6 Precise Engineering of Power Boundaries</w:t>
      </w:r>
    </w:p>
    <w:p>
      <w:pPr>
        <w:pStyle w:val="BodyText"/>
      </w:pPr>
      <w:r>
        <w:rPr>
          <w:rFonts w:ascii="Arial" w:hAnsi="Arial"/>
        </w:rPr>
        <w:t xml:space="preserve">The effectiveness of the three-layer architecture ultimately depends on the precision of power boundaries between layers. Fuzzy boundaries are the breeding ground for corruption—many problems in traditional bureaucratic systems stem precisely from intentional fuzziness of power boundaries (leaving subjective discretionary space for implementers) or accidental fuzziness (boundary cases not anticipated by institutional designers).</w:t>
      </w:r>
    </w:p>
    <w:p>
      <w:pPr>
        <w:pStyle w:val="BodyText"/>
      </w:pPr>
      <w:r>
        <w:rPr>
          <w:rFonts w:ascii="Arial" w:hAnsi="Arial"/>
          <w:b/>
        </w:rPr>
        <w:t xml:space="preserve">Handling Rules for Three Types of Boundary Cases</w:t>
      </w:r>
    </w:p>
    <w:p>
      <w:pPr>
        <w:pStyle w:val="BodyText"/>
      </w:pPr>
      <w:r>
        <w:rPr>
          <w:rFonts w:ascii="Arial" w:hAnsi="Arial"/>
          <w:b/>
        </w:rPr>
        <w:t xml:space="preserve">Boundary Case One: Rules Gap—A completely novel situation not covered by any existing rules.</w:t>
      </w:r>
    </w:p>
    <w:p>
      <w:pPr>
        <w:pStyle w:val="BodyText"/>
      </w:pPr>
      <w:r>
        <w:rPr>
          <w:rFonts w:ascii="Arial" w:hAnsi="Arial"/>
        </w:rPr>
        <w:t xml:space="preserve">Handling Rule: AIGC stops processing, automatically generates a</w:t>
      </w:r>
      <w:r>
        <w:rPr>
          <w:rFonts w:ascii="Arial" w:hAnsi="Arial"/>
        </w:rPr>
        <w:t xml:space="preserve"> </w:t>
      </w:r>
      <w:r>
        <w:rPr>
          <w:rFonts w:ascii="Arial" w:hAnsi="Arial"/>
        </w:rPr>
        <w:t xml:space="preserve">“</w:t>
      </w:r>
      <w:r>
        <w:rPr>
          <w:rFonts w:ascii="Arial" w:hAnsi="Arial"/>
        </w:rPr>
        <w:t xml:space="preserve">Rules Gap Notice</w:t>
      </w:r>
      <w:r>
        <w:rPr>
          <w:rFonts w:ascii="Arial" w:hAnsi="Arial"/>
        </w:rPr>
        <w:t xml:space="preserve">”</w:t>
      </w:r>
      <w:r>
        <w:rPr>
          <w:rFonts w:ascii="Arial" w:hAnsi="Arial"/>
        </w:rPr>
        <w:t xml:space="preserve"> </w:t>
      </w:r>
      <w:r>
        <w:rPr>
          <w:rFonts w:ascii="Arial" w:hAnsi="Arial"/>
        </w:rPr>
        <w:t xml:space="preserve">and publishes it; simultaneously triggers a 30-day temporary rule-making procedure (the Elder Council may issue temporary guidance during these 30 days, covering until formal rule legislation is completed). During this period, requests involving that situation are suspended, and applicants receive a clear time expectation.</w:t>
      </w:r>
    </w:p>
    <w:p>
      <w:pPr>
        <w:pStyle w:val="BodyText"/>
      </w:pPr>
      <w:r>
        <w:rPr>
          <w:rFonts w:ascii="Arial" w:hAnsi="Arial"/>
          <w:b/>
        </w:rPr>
        <w:t xml:space="preserve">Boundary Case Two: Rules Conflict—Two or more existing rules generate incompatible requirements in the same specific situation.</w:t>
      </w:r>
    </w:p>
    <w:p>
      <w:pPr>
        <w:pStyle w:val="BodyText"/>
      </w:pPr>
      <w:r>
        <w:rPr>
          <w:rFonts w:ascii="Arial" w:hAnsi="Arial"/>
        </w:rPr>
        <w:t xml:space="preserve">Handling Rule: AIGC stops processing, generates a</w:t>
      </w:r>
      <w:r>
        <w:rPr>
          <w:rFonts w:ascii="Arial" w:hAnsi="Arial"/>
        </w:rPr>
        <w:t xml:space="preserve"> </w:t>
      </w:r>
      <w:r>
        <w:rPr>
          <w:rFonts w:ascii="Arial" w:hAnsi="Arial"/>
        </w:rPr>
        <w:t xml:space="preserve">“</w:t>
      </w:r>
      <w:r>
        <w:rPr>
          <w:rFonts w:ascii="Arial" w:hAnsi="Arial"/>
        </w:rPr>
        <w:t xml:space="preserve">Rules Conflict Report</w:t>
      </w:r>
      <w:r>
        <w:rPr>
          <w:rFonts w:ascii="Arial" w:hAnsi="Arial"/>
        </w:rPr>
        <w:t xml:space="preserve">”</w:t>
      </w:r>
      <w:r>
        <w:rPr>
          <w:rFonts w:ascii="Arial" w:hAnsi="Arial"/>
        </w:rPr>
        <w:t xml:space="preserve"> </w:t>
      </w:r>
      <w:r>
        <w:rPr>
          <w:rFonts w:ascii="Arial" w:hAnsi="Arial"/>
        </w:rPr>
        <w:t xml:space="preserve">listing the conflicting rule provisions and specific scenario, and sends it to the Elder Council. The Elder Council must make a ruling within 14 days on which rule takes precedence in this situation. The ruling is recorded on-chain as a temporary precedent while simultaneously triggering the corresponding legislative revision procedure to eliminate the conflict.</w:t>
      </w:r>
    </w:p>
    <w:p>
      <w:pPr>
        <w:pStyle w:val="BodyText"/>
      </w:pPr>
      <w:r>
        <w:rPr>
          <w:rFonts w:ascii="Arial" w:hAnsi="Arial"/>
          <w:b/>
        </w:rPr>
        <w:t xml:space="preserve">Boundary Case Three: Potential Conflict Between Rules and Constitutional Spirit—A rule is textually legal, but its application result may contravene the fundamental spirit of the Constitution.</w:t>
      </w:r>
    </w:p>
    <w:p>
      <w:pPr>
        <w:pStyle w:val="BodyText"/>
      </w:pPr>
      <w:r>
        <w:rPr>
          <w:rFonts w:ascii="Arial" w:hAnsi="Arial"/>
        </w:rPr>
        <w:t xml:space="preserve">Handling Rule: AIGC pauses execution, generates a</w:t>
      </w:r>
      <w:r>
        <w:rPr>
          <w:rFonts w:ascii="Arial" w:hAnsi="Arial"/>
        </w:rPr>
        <w:t xml:space="preserve"> </w:t>
      </w:r>
      <w:r>
        <w:rPr>
          <w:rFonts w:ascii="Arial" w:hAnsi="Arial"/>
        </w:rPr>
        <w:t xml:space="preserve">“</w:t>
      </w:r>
      <w:r>
        <w:rPr>
          <w:rFonts w:ascii="Arial" w:hAnsi="Arial"/>
        </w:rPr>
        <w:t xml:space="preserve">Constitutional Spirit Alert</w:t>
      </w:r>
      <w:r>
        <w:rPr>
          <w:rFonts w:ascii="Arial" w:hAnsi="Arial"/>
        </w:rPr>
        <w:t xml:space="preserve">”</w:t>
      </w:r>
      <w:r>
        <w:rPr>
          <w:rFonts w:ascii="Arial" w:hAnsi="Arial"/>
        </w:rPr>
        <w:t xml:space="preserve"> </w:t>
      </w:r>
      <w:r>
        <w:rPr>
          <w:rFonts w:ascii="Arial" w:hAnsi="Arial"/>
        </w:rPr>
        <w:t xml:space="preserve">documenting the specific application scenario, the relevant rule, and why the current application may violate constitutional spirit. The alert is automatically submitted to the Elder Council, which must decide within 14 days whether to issue a temporary suspension of the rule’s application in this specific scenario. If suspended, the ruling simultaneously triggers a formal review of whether the rule needs constitutional amendment or explicit limitation of scope.</w:t>
      </w:r>
    </w:p>
    <w:p>
      <w:pPr>
        <w:pStyle w:val="BodyText"/>
      </w:pPr>
      <w:r>
        <w:rPr>
          <w:rFonts w:ascii="Arial" w:hAnsi="Arial"/>
        </w:rPr>
        <w:t xml:space="preserve">Processing Rules: This is the most complex scenario, and also the one that most requires human judgment. When AIGC detects potential conflict signals (when the bias score based on the ethical weight model exceeds the threshold), it automatically marks the case as</w:t>
      </w:r>
      <w:r>
        <w:rPr>
          <w:rFonts w:ascii="Arial" w:hAnsi="Arial"/>
        </w:rPr>
        <w:t xml:space="preserve"> </w:t>
      </w:r>
      <w:r>
        <w:rPr>
          <w:rFonts w:ascii="Arial" w:hAnsi="Arial"/>
        </w:rPr>
        <w:t xml:space="preserve">“</w:t>
      </w:r>
      <w:r>
        <w:rPr>
          <w:rFonts w:ascii="Arial" w:hAnsi="Arial"/>
        </w:rPr>
        <w:t xml:space="preserve">high-risk</w:t>
      </w:r>
      <w:r>
        <w:rPr>
          <w:rFonts w:ascii="Arial" w:hAnsi="Arial"/>
        </w:rPr>
        <w:t xml:space="preserve">”</w:t>
      </w:r>
      <w:r>
        <w:rPr>
          <w:rFonts w:ascii="Arial" w:hAnsi="Arial"/>
        </w:rPr>
        <w:t xml:space="preserve"> </w:t>
      </w:r>
      <w:r>
        <w:rPr>
          <w:rFonts w:ascii="Arial" w:hAnsi="Arial"/>
        </w:rPr>
        <w:t xml:space="preserve">and submits it to the Elder Council. The Elder Council can decide: to allow AIGC to execute according to the literal text of the rule, to require rule modification, or to submit the matter to a Popular Vote.</w:t>
      </w:r>
    </w:p>
    <w:p>
      <w:pPr>
        <w:pStyle w:val="BodyText"/>
      </w:pPr>
      <w:r>
        <w:rPr>
          <w:rFonts w:ascii="Arial" w:hAnsi="Arial"/>
          <w:b/>
        </w:rPr>
        <w:t xml:space="preserve">Non-Overrideable Technical Hard Locks</w:t>
      </w:r>
    </w:p>
    <w:p>
      <w:pPr>
        <w:pStyle w:val="BodyText"/>
      </w:pPr>
      <w:r>
        <w:rPr>
          <w:rFonts w:ascii="Arial" w:hAnsi="Arial"/>
        </w:rPr>
        <w:t xml:space="preserve">Beyond the procedural handling of boundary cases described above, the entire system has several non-overrideable technical hard locks——these restrictions cannot be bypassed by any instruction, cannot be lifted by the Elder Council, and cannot be modified by a Popular Vote (because they themselves are mechanisms protecting the Popular Vote from being circumvented):</w:t>
      </w:r>
    </w:p>
    <w:p>
      <w:pPr>
        <w:numPr>
          <w:ilvl w:val="0"/>
          <w:numId w:val="1006"/>
        </w:numPr>
      </w:pPr>
      <w:r>
        <w:rPr>
          <w:rFonts w:ascii="Arial" w:hAnsi="Arial"/>
        </w:rPr>
        <w:t xml:space="preserve">AIGC cannot shut down or modify its own monitoring system——the monitoring module is physically isolated from the main system, and AIGC’s API has no interfaces to access or modify the monitoring system</w:t>
      </w:r>
    </w:p>
    <w:p>
      <w:pPr>
        <w:numPr>
          <w:ilvl w:val="0"/>
          <w:numId w:val="1006"/>
        </w:numPr>
      </w:pPr>
      <w:r>
        <w:rPr>
          <w:rFonts w:ascii="Arial" w:hAnsi="Arial"/>
        </w:rPr>
        <w:t xml:space="preserve">AIGC cannot output any governance decision without generating a reasoning chain——reasoning chain generation is a mandatory prerequisite for decision output, technically impossible to bypass</w:t>
      </w:r>
    </w:p>
    <w:p>
      <w:pPr>
        <w:numPr>
          <w:ilvl w:val="0"/>
          <w:numId w:val="1006"/>
        </w:numPr>
      </w:pPr>
      <w:r>
        <w:rPr>
          <w:rFonts w:ascii="Arial" w:hAnsi="Arial"/>
        </w:rPr>
        <w:t xml:space="preserve">AIGC cannot execute any instruction that violates the fundamental rights enumerated in Chapter One of the Constitution——even if this instruction comes from Popular Vote authorization, constitutional fundamental rights provisions supersede majority rule</w:t>
      </w:r>
    </w:p>
    <w:p>
      <w:pPr>
        <w:numPr>
          <w:ilvl w:val="0"/>
          <w:numId w:val="1006"/>
        </w:numPr>
      </w:pPr>
      <w:r>
        <w:rPr>
          <w:rFonts w:ascii="Arial" w:hAnsi="Arial"/>
        </w:rPr>
        <w:t xml:space="preserve">AIGC cannot access or operate the Elder Council’s signature key system——the key infrastructure of the two systems is physically isolated</w:t>
      </w:r>
    </w:p>
    <w:p>
      <w:pPr>
        <w:pStyle w:val="FirstParagraph"/>
      </w:pPr>
      <w:r>
        <w:rPr>
          <w:rFonts w:ascii="Arial" w:hAnsi="Arial"/>
          <w:b/>
        </w:rPr>
        <w:t xml:space="preserve">3.7 Failure Modes and Recovery Mechanisms of the Three-Layer Architecture</w:t>
      </w:r>
    </w:p>
    <w:p>
      <w:pPr>
        <w:pStyle w:val="BodyText"/>
      </w:pPr>
      <w:r>
        <w:rPr>
          <w:rFonts w:ascii="Arial" w:hAnsi="Arial"/>
        </w:rPr>
        <w:t xml:space="preserve">Responsible system design not only describes how systems operate successfully but must also detail how systems maintain safety under various failure scenarios. For governance systems, this is particularly important——because governance system failures are not merely technical problems but directly affect residents’ fundamental rights and life safety.</w:t>
      </w:r>
    </w:p>
    <w:tbl>
      <w:tblPr>
        <w:tblStyle w:val="Table"/>
        <w:tblW w:type="pct" w:w="5000.0"/>
        <w:tblLook w:firstRow="1"/>
      </w:tblPr>
      <w:tblGrid>
        <w:gridCol w:w="1498"/>
        <w:gridCol w:w="1855"/>
        <w:gridCol w:w="1712"/>
        <w:gridCol w:w="1427"/>
        <w:gridCol w:w="1427"/>
      </w:tblGrid>
      <w:tr>
        <w:trPr>
          <w:cnfStyle w:firstRow="1"/>
        </w:trPr>
        <w:tc>
          <w:tcPr>
            <w:tcBorders>
              <w:bottom w:val="single"/>
            </w:tcBorders>
            <w:vAlign w:val="bottom"/>
          </w:tcPr>
          <w:p>
            <w:pPr>
              <w:pStyle w:val="Compact"/>
              <w:jc w:val="left"/>
            </w:pPr>
            <w:r>
              <w:rPr>
                <w:b/>
              </w:rPr>
              <w:t xml:space="preserve">Failure Scenario</w:t>
            </w:r>
          </w:p>
        </w:tc>
        <w:tc>
          <w:tcPr>
            <w:tcBorders>
              <w:bottom w:val="single"/>
            </w:tcBorders>
            <w:vAlign w:val="bottom"/>
          </w:tcPr>
          <w:p>
            <w:pPr>
              <w:pStyle w:val="Compact"/>
              <w:jc w:val="left"/>
            </w:pPr>
            <w:r>
              <w:rPr>
                <w:b/>
              </w:rPr>
              <w:t xml:space="preserve">Triggering Condition</w:t>
            </w:r>
          </w:p>
        </w:tc>
        <w:tc>
          <w:tcPr>
            <w:tcBorders>
              <w:bottom w:val="single"/>
            </w:tcBorders>
            <w:vAlign w:val="bottom"/>
          </w:tcPr>
          <w:p>
            <w:pPr>
              <w:pStyle w:val="Compact"/>
              <w:jc w:val="left"/>
            </w:pPr>
            <w:r>
              <w:rPr>
                <w:b/>
              </w:rPr>
              <w:t xml:space="preserve">Automatic Response</w:t>
            </w:r>
          </w:p>
        </w:tc>
        <w:tc>
          <w:tcPr>
            <w:tcBorders>
              <w:bottom w:val="single"/>
            </w:tcBorders>
            <w:vAlign w:val="bottom"/>
          </w:tcPr>
          <w:p>
            <w:pPr>
              <w:pStyle w:val="Compact"/>
              <w:jc w:val="left"/>
            </w:pPr>
            <w:r>
              <w:rPr>
                <w:b/>
              </w:rPr>
              <w:t xml:space="preserve">Manual Response</w:t>
            </w:r>
          </w:p>
        </w:tc>
        <w:tc>
          <w:tcPr>
            <w:tcBorders>
              <w:bottom w:val="single"/>
            </w:tcBorders>
            <w:vAlign w:val="bottom"/>
          </w:tcPr>
          <w:p>
            <w:pPr>
              <w:pStyle w:val="Compact"/>
              <w:jc w:val="left"/>
            </w:pPr>
            <w:r>
              <w:rPr>
                <w:b/>
              </w:rPr>
              <w:t xml:space="preserve">Recovery Path</w:t>
            </w:r>
          </w:p>
        </w:tc>
      </w:tr>
      <w:tr>
        <w:tc>
          <w:p>
            <w:pPr>
              <w:pStyle w:val="Compact"/>
              <w:jc w:val="left"/>
            </w:pPr>
            <w:r>
              <w:t xml:space="preserve">AIGC single module failure</w:t>
            </w:r>
          </w:p>
        </w:tc>
        <w:tc>
          <w:p>
            <w:pPr>
              <w:pStyle w:val="Compact"/>
              <w:jc w:val="left"/>
            </w:pPr>
            <w:r>
              <w:t xml:space="preserve">Module health check fails 3 consecutive times</w:t>
            </w:r>
          </w:p>
        </w:tc>
        <w:tc>
          <w:p>
            <w:pPr>
              <w:pStyle w:val="Compact"/>
              <w:jc w:val="left"/>
            </w:pPr>
            <w:r>
              <w:t xml:space="preserve">Traffic switches to standby module</w:t>
            </w:r>
          </w:p>
        </w:tc>
        <w:tc>
          <w:p>
            <w:pPr>
              <w:pStyle w:val="Compact"/>
              <w:jc w:val="left"/>
            </w:pPr>
            <w:r>
              <w:t xml:space="preserve">Technical team receives alert</w:t>
            </w:r>
          </w:p>
        </w:tc>
        <w:tc>
          <w:p>
            <w:pPr>
              <w:pStyle w:val="Compact"/>
              <w:jc w:val="left"/>
            </w:pPr>
            <w:r>
              <w:t xml:space="preserve">Cold standby hot switch, &lt;4 hours recovery</w:t>
            </w:r>
          </w:p>
        </w:tc>
      </w:tr>
      <w:tr>
        <w:tc>
          <w:p>
            <w:pPr>
              <w:pStyle w:val="Compact"/>
              <w:jc w:val="left"/>
            </w:pPr>
            <w:r>
              <w:t xml:space="preserve">AIGC systemic failure</w:t>
            </w:r>
          </w:p>
        </w:tc>
        <w:tc>
          <w:p>
            <w:pPr>
              <w:pStyle w:val="Compact"/>
              <w:jc w:val="left"/>
            </w:pPr>
            <w:r>
              <w:t xml:space="preserve">More than 3 core modules fail simultaneously</w:t>
            </w:r>
          </w:p>
        </w:tc>
        <w:tc>
          <w:p>
            <w:pPr>
              <w:pStyle w:val="Compact"/>
              <w:jc w:val="left"/>
            </w:pPr>
            <w:r>
              <w:t xml:space="preserve">Switch to degraded mode: only handle urgent cases</w:t>
            </w:r>
          </w:p>
        </w:tc>
        <w:tc>
          <w:p>
            <w:pPr>
              <w:pStyle w:val="Compact"/>
              <w:jc w:val="left"/>
            </w:pPr>
            <w:r>
              <w:t xml:space="preserve">Elder Council automatically convenes emergency meeting</w:t>
            </w:r>
          </w:p>
        </w:tc>
        <w:tc>
          <w:p>
            <w:pPr>
              <w:pStyle w:val="Compact"/>
              <w:jc w:val="left"/>
            </w:pPr>
            <w:r>
              <w:t xml:space="preserve">Manual backup system takes over, 72 hours</w:t>
            </w:r>
          </w:p>
        </w:tc>
      </w:tr>
      <w:tr>
        <w:tc>
          <w:p>
            <w:pPr>
              <w:pStyle w:val="Compact"/>
              <w:jc w:val="left"/>
            </w:pPr>
            <w:r>
              <w:t xml:space="preserve">Data tampering</w:t>
            </w:r>
          </w:p>
        </w:tc>
        <w:tc>
          <w:p>
            <w:pPr>
              <w:pStyle w:val="Compact"/>
              <w:jc w:val="left"/>
            </w:pPr>
            <w:r>
              <w:t xml:space="preserve">Blockchain node consistency verification fails</w:t>
            </w:r>
          </w:p>
        </w:tc>
        <w:tc>
          <w:p>
            <w:pPr>
              <w:pStyle w:val="Compact"/>
              <w:jc w:val="left"/>
            </w:pPr>
            <w:r>
              <w:t xml:space="preserve">Affected module automatically stops output</w:t>
            </w:r>
          </w:p>
        </w:tc>
        <w:tc>
          <w:p>
            <w:pPr>
              <w:pStyle w:val="Compact"/>
              <w:jc w:val="left"/>
            </w:pPr>
            <w:r>
              <w:t xml:space="preserve">Independent audit team initiates investigation</w:t>
            </w:r>
          </w:p>
        </w:tc>
        <w:tc>
          <w:p>
            <w:pPr>
              <w:pStyle w:val="Compact"/>
              <w:jc w:val="left"/>
            </w:pPr>
            <w:r>
              <w:t xml:space="preserve">Recovery from last legitimate snapshot</w:t>
            </w:r>
          </w:p>
        </w:tc>
      </w:tr>
      <w:tr>
        <w:tc>
          <w:p>
            <w:pPr>
              <w:pStyle w:val="Compact"/>
              <w:jc w:val="left"/>
            </w:pPr>
            <w:r>
              <w:t xml:space="preserve">Elder Council disconnection</w:t>
            </w:r>
          </w:p>
        </w:tc>
        <w:tc>
          <w:p>
            <w:pPr>
              <w:pStyle w:val="Compact"/>
              <w:jc w:val="left"/>
            </w:pPr>
            <w:r>
              <w:t xml:space="preserve">More than two-thirds of members unable to participate in voting for more than 7 days</w:t>
            </w:r>
          </w:p>
        </w:tc>
        <w:tc>
          <w:p>
            <w:pPr>
              <w:pStyle w:val="Compact"/>
              <w:jc w:val="left"/>
            </w:pPr>
            <w:r>
              <w:t xml:space="preserve">Triggers Citizen Emergency Representative Committee</w:t>
            </w:r>
          </w:p>
        </w:tc>
        <w:tc>
          <w:p>
            <w:pPr>
              <w:pStyle w:val="Compact"/>
              <w:jc w:val="left"/>
            </w:pPr>
            <w:r>
              <w:t xml:space="preserve">AI-selected Citizen Representative Committee temporarily exercises functions</w:t>
            </w:r>
          </w:p>
        </w:tc>
        <w:tc>
          <w:p>
            <w:pPr>
              <w:pStyle w:val="Compact"/>
              <w:jc w:val="left"/>
            </w:pPr>
            <w:r>
              <w:t xml:space="preserve">Reconsideration after Elder Council restoration</w:t>
            </w:r>
          </w:p>
        </w:tc>
      </w:tr>
      <w:tr>
        <w:tc>
          <w:p>
            <w:pPr>
              <w:pStyle w:val="Compact"/>
              <w:jc w:val="left"/>
            </w:pPr>
            <w:r>
              <w:t xml:space="preserve">On-chain voting system failure</w:t>
            </w:r>
          </w:p>
        </w:tc>
        <w:tc>
          <w:p>
            <w:pPr>
              <w:pStyle w:val="Compact"/>
              <w:jc w:val="left"/>
            </w:pPr>
            <w:r>
              <w:t xml:space="preserve">Voting results cannot be confirmed within expected time</w:t>
            </w:r>
          </w:p>
        </w:tc>
        <w:tc>
          <w:p>
            <w:pPr>
              <w:pStyle w:val="Compact"/>
              <w:jc w:val="left"/>
            </w:pPr>
            <w:r>
              <w:t xml:space="preserve">Voting window automatically extended, citizens notified</w:t>
            </w:r>
          </w:p>
        </w:tc>
        <w:tc>
          <w:p>
            <w:pPr>
              <w:pStyle w:val="Compact"/>
              <w:jc w:val="left"/>
            </w:pPr>
            <w:r>
              <w:t xml:space="preserve">Technical Committee evaluates failure cause</w:t>
            </w:r>
          </w:p>
        </w:tc>
        <w:tc>
          <w:p>
            <w:pPr>
              <w:pStyle w:val="Compact"/>
              <w:jc w:val="left"/>
            </w:pPr>
            <w:r>
              <w:t xml:space="preserve">System repaired, re-balloting, original votes voided</w:t>
            </w:r>
          </w:p>
        </w:tc>
      </w:tr>
      <w:tr>
        <w:tc>
          <w:p>
            <w:pPr>
              <w:pStyle w:val="Compact"/>
              <w:jc w:val="left"/>
            </w:pPr>
            <w:r>
              <w:t xml:space="preserve">External attack</w:t>
            </w:r>
          </w:p>
        </w:tc>
        <w:tc>
          <w:p>
            <w:pPr>
              <w:pStyle w:val="Compact"/>
              <w:jc w:val="left"/>
            </w:pPr>
            <w:r>
              <w:t xml:space="preserve">Monitoring system detects systemic abnormal access patterns</w:t>
            </w:r>
          </w:p>
        </w:tc>
        <w:tc>
          <w:p>
            <w:pPr>
              <w:pStyle w:val="Compact"/>
              <w:jc w:val="left"/>
            </w:pPr>
            <w:r>
              <w:t xml:space="preserve">Requests from suspicious sources automatically isolated</w:t>
            </w:r>
          </w:p>
        </w:tc>
        <w:tc>
          <w:p>
            <w:pPr>
              <w:pStyle w:val="Compact"/>
              <w:jc w:val="left"/>
            </w:pPr>
            <w:r>
              <w:t xml:space="preserve">Security team intervenes, Elder Council informed</w:t>
            </w:r>
          </w:p>
        </w:tc>
        <w:tc>
          <w:p>
            <w:pPr>
              <w:pStyle w:val="Compact"/>
              <w:jc w:val="left"/>
            </w:pPr>
            <w:r>
              <w:t xml:space="preserve">Blacklist updated, vulnerabilities fixed, damage assessment</w:t>
            </w:r>
          </w:p>
        </w:tc>
      </w:tr>
    </w:tbl>
    <w:p>
      <w:pPr>
        <w:pStyle w:val="BodyText"/>
      </w:pPr>
      <w:r>
        <w:rPr>
          <w:rFonts w:ascii="Arial" w:hAnsi="Arial"/>
        </w:rPr>
        <w:t xml:space="preserve">Across all recovery mechanisms, there is one overarching principle that cannot be violated: after any failure or attack event, all recovery action decision chains must be completely recorded and made public to all citizens within 24 hours of safe recovery. There are no</w:t>
      </w:r>
      <w:r>
        <w:rPr>
          <w:rFonts w:ascii="Arial" w:hAnsi="Arial"/>
        </w:rPr>
        <w:t xml:space="preserve"> </w:t>
      </w:r>
      <w:r>
        <w:rPr>
          <w:rFonts w:ascii="Arial" w:hAnsi="Arial"/>
        </w:rPr>
        <w:t xml:space="preserve">“</w:t>
      </w:r>
      <w:r>
        <w:rPr>
          <w:rFonts w:ascii="Arial" w:hAnsi="Arial"/>
        </w:rPr>
        <w:t xml:space="preserve">secret recovery operations</w:t>
      </w:r>
      <w:r>
        <w:rPr>
          <w:rFonts w:ascii="Arial" w:hAnsi="Arial"/>
        </w:rPr>
        <w:t xml:space="preserve">”</w:t>
      </w:r>
      <w:r>
        <w:rPr>
          <w:rFonts w:ascii="Arial" w:hAnsi="Arial"/>
        </w:rPr>
        <w:t xml:space="preserve">——transparency is the foundation of system trustworthiness, especially in the most difficult moments.</w:t>
      </w:r>
    </w:p>
    <w:p>
      <w:pPr>
        <w:pStyle w:val="BodyText"/>
      </w:pPr>
      <w:r>
        <w:rPr>
          <w:rFonts w:ascii="Arial" w:hAnsi="Arial"/>
          <w:b/>
        </w:rPr>
        <w:t xml:space="preserve">3.8 Parallel Period and Transition Design with Existing Governance Systems</w:t>
      </w:r>
    </w:p>
    <w:p>
      <w:pPr>
        <w:pStyle w:val="BodyText"/>
      </w:pPr>
      <w:r>
        <w:rPr>
          <w:rFonts w:ascii="Arial" w:hAnsi="Arial"/>
        </w:rPr>
        <w:t xml:space="preserve">The three-layer architecture will not replace existing governance systems overnight——indeed, attempting comprehensive rapid replacement is dangerous because it would create a governance vacuum between the old and new systems. The design of the Constitutional AI Governance system is a gradual process of capability transfer.</w:t>
      </w:r>
    </w:p>
    <w:p>
      <w:pPr>
        <w:pStyle w:val="BodyText"/>
      </w:pPr>
      <w:r>
        <w:rPr>
          <w:rFonts w:ascii="Arial" w:hAnsi="Arial"/>
          <w:b/>
        </w:rPr>
        <w:t xml:space="preserve">Three-Phase Capability Transfer Roadmap</w:t>
      </w:r>
    </w:p>
    <w:p>
      <w:pPr>
        <w:pStyle w:val="BodyText"/>
      </w:pPr>
      <w:r>
        <w:rPr>
          <w:rFonts w:ascii="Arial" w:hAnsi="Arial"/>
          <w:b/>
        </w:rPr>
        <w:t xml:space="preserve">Phase One (0–18 months): Parallel Operation.</w:t>
      </w:r>
      <w:r>
        <w:rPr>
          <w:rFonts w:ascii="Arial" w:hAnsi="Arial"/>
        </w:rPr>
        <w:t xml:space="preserve"> </w:t>
      </w:r>
      <w:r>
        <w:rPr>
          <w:rFonts w:ascii="Arial" w:hAnsi="Arial"/>
        </w:rPr>
        <w:t xml:space="preserve">AIGC systems and traditional administrative systems operate in parallel. AIGC handles all cases it is capable of processing and generates shadow decisions for the traditional system’s reference, but final decision-making authority remains with the traditional system. The goals of this phase are: to verify AIGC decision quality, to build residents’ trust in the system, and to discover and address design blind spots.</w:t>
      </w:r>
    </w:p>
    <w:p>
      <w:pPr>
        <w:pStyle w:val="BodyText"/>
      </w:pPr>
      <w:r>
        <w:rPr>
          <w:rFonts w:ascii="Arial" w:hAnsi="Arial"/>
          <w:b/>
        </w:rPr>
        <w:t xml:space="preserve">Phase Two (18–36 months): Partial Transfer.</w:t>
      </w:r>
      <w:r>
        <w:rPr>
          <w:rFonts w:ascii="Arial" w:hAnsi="Arial"/>
        </w:rPr>
        <w:t xml:space="preserve"> </w:t>
      </w:r>
      <w:r>
        <w:rPr>
          <w:rFonts w:ascii="Arial" w:hAnsi="Arial"/>
        </w:rPr>
        <w:t xml:space="preserve">For functional areas where both accuracy and satisfaction exceed set thresholds, AIGC gains primary execution authority in that domain, and the traditional system is demoted to a supervisory and review role. This phase proceeds module by module, not through a comprehensive switch. Each functional module’s transfer requires Elder Council review and public disclosure.</w:t>
      </w:r>
    </w:p>
    <w:p>
      <w:pPr>
        <w:pStyle w:val="BodyText"/>
      </w:pPr>
      <w:r>
        <w:rPr>
          <w:rFonts w:ascii="Arial" w:hAnsi="Arial"/>
          <w:b/>
        </w:rPr>
        <w:t xml:space="preserve">Phase Three (36 months onwards): Dominant Operation.</w:t>
      </w:r>
      <w:r>
        <w:rPr>
          <w:rFonts w:ascii="Arial" w:hAnsi="Arial"/>
        </w:rPr>
        <w:t xml:space="preserve"> </w:t>
      </w:r>
      <w:r>
        <w:rPr>
          <w:rFonts w:ascii="Arial" w:hAnsi="Arial"/>
        </w:rPr>
        <w:t xml:space="preserve">AIGC becomes the primary execution system for urban governance, and traditional administrative institutions transition to supervisory and maintenance roles for AIGC. The key tasks of this phase are: to completely eliminate areas of power overlap, to establish clear responsibility attribution, and to prevent traditional administrative systems from attempting to maintain influence through informal channels after losing execution authority.</w:t>
      </w:r>
    </w:p>
    <w:p>
      <w:pPr>
        <w:pStyle w:val="BodyText"/>
      </w:pPr>
      <w:r>
        <w:rPr>
          <w:rFonts w:ascii="Arial" w:hAnsi="Arial"/>
        </w:rPr>
        <w:t xml:space="preserve">Throughout the entire transition period, there is one inviolable red line: any transfer must be orderly, transparent, and accompanied by residents’ informed consent. There are no shortcuts——no emergency authorizations to skip procedures, no circumvention of public notice periods in the name of efficiency, no compression of residents’ decision-making time on grounds that technology is already mature. The pace of transition is determined by the speed of residents’ trust accumulation, not by the speed of technological progress.</w:t>
      </w:r>
    </w:p>
    <w:p>
      <w:pPr>
        <w:pStyle w:val="BodyText"/>
      </w:pPr>
      <w:r>
        <w:rPr>
          <w:rFonts w:ascii="Arial" w:hAnsi="Arial"/>
          <w:b/>
        </w:rPr>
        <w:t xml:space="preserve">Chapter Summary</w:t>
      </w:r>
    </w:p>
    <w:p>
      <w:pPr>
        <w:pStyle w:val="BodyText"/>
      </w:pPr>
      <w:r>
        <w:rPr>
          <w:rFonts w:ascii="Arial" w:hAnsi="Arial"/>
        </w:rPr>
        <w:t xml:space="preserve">This chapter completes the comprehensive architectural design of the Constitutional AI Governance system, with the following core achievements:</w:t>
      </w:r>
    </w:p>
    <w:p>
      <w:pPr>
        <w:numPr>
          <w:ilvl w:val="0"/>
          <w:numId w:val="1007"/>
        </w:numPr>
      </w:pPr>
      <w:r>
        <w:rPr>
          <w:rFonts w:ascii="Arial" w:hAnsi="Arial"/>
        </w:rPr>
        <w:t xml:space="preserve">Logical foundation of the three-layer architecture: Regular execution-type, major direction-type, and fundamental value-type decisions each require different decision mechanisms. The three-layer architecture proceeds from the intrinsic properties of decisions, making it a logically necessary structure.</w:t>
      </w:r>
    </w:p>
    <w:p>
      <w:pPr>
        <w:numPr>
          <w:ilvl w:val="0"/>
          <w:numId w:val="1007"/>
        </w:numPr>
      </w:pPr>
      <w:r>
        <w:rPr>
          <w:rFonts w:ascii="Arial" w:hAnsi="Arial"/>
        </w:rPr>
        <w:t xml:space="preserve">AIGC’s design boundaries: Nine functional modules, five technical principles, and clear boundaries of</w:t>
      </w:r>
      <w:r>
        <w:rPr>
          <w:rFonts w:ascii="Arial" w:hAnsi="Arial"/>
        </w:rPr>
        <w:t xml:space="preserve"> </w:t>
      </w:r>
      <w:r>
        <w:rPr>
          <w:rFonts w:ascii="Arial" w:hAnsi="Arial"/>
        </w:rPr>
        <w:t xml:space="preserve">“</w:t>
      </w:r>
      <w:r>
        <w:rPr>
          <w:rFonts w:ascii="Arial" w:hAnsi="Arial"/>
        </w:rPr>
        <w:t xml:space="preserve">what it can and cannot do</w:t>
      </w:r>
      <w:r>
        <w:rPr>
          <w:rFonts w:ascii="Arial" w:hAnsi="Arial"/>
        </w:rPr>
        <w:t xml:space="preserve">”</w:t>
      </w:r>
      <w:r>
        <w:rPr>
          <w:rFonts w:ascii="Arial" w:hAnsi="Arial"/>
        </w:rPr>
        <w:t xml:space="preserve"> </w:t>
      </w:r>
      <w:r>
        <w:rPr>
          <w:rFonts w:ascii="Arial" w:hAnsi="Arial"/>
        </w:rPr>
        <w:t xml:space="preserve">ensure that AIGC is a rule-execution machine rather than a power subject.</w:t>
      </w:r>
    </w:p>
    <w:p>
      <w:pPr>
        <w:numPr>
          <w:ilvl w:val="0"/>
          <w:numId w:val="1007"/>
        </w:numPr>
      </w:pPr>
      <w:r>
        <w:rPr>
          <w:rFonts w:ascii="Arial" w:hAnsi="Arial"/>
        </w:rPr>
        <w:t xml:space="preserve">Institutional innovation of the Elder Council: Only brakes, no steering wheel; precisely enumerated authority boundaries; built-in mechanisms to prevent itself from becoming a power node. This represents the minimal necessary presence of human judgment in the system.</w:t>
      </w:r>
    </w:p>
    <w:p>
      <w:pPr>
        <w:numPr>
          <w:ilvl w:val="0"/>
          <w:numId w:val="1007"/>
        </w:numPr>
      </w:pPr>
      <w:r>
        <w:rPr>
          <w:rFonts w:ascii="Arial" w:hAnsi="Arial"/>
        </w:rPr>
        <w:t xml:space="preserve">Threefold innovation of the Citizen Consensus Layer: On-chain voting solves the manipulability problem; impact assessment reports solve the information quality problem; the 90-second process solves the participation cost problem.</w:t>
      </w:r>
    </w:p>
    <w:p>
      <w:pPr>
        <w:numPr>
          <w:ilvl w:val="0"/>
          <w:numId w:val="1007"/>
        </w:numPr>
      </w:pPr>
      <w:r>
        <w:rPr>
          <w:rFonts w:ascii="Arial" w:hAnsi="Arial"/>
        </w:rPr>
        <w:t xml:space="preserve">Verification through complete operational scenarios: The 22-day full process of a public transit proposal demonstrates that the three-layer architecture in practice is organic coordination rather than theoretical superposition.</w:t>
      </w:r>
    </w:p>
    <w:p>
      <w:pPr>
        <w:numPr>
          <w:ilvl w:val="0"/>
          <w:numId w:val="1007"/>
        </w:numPr>
      </w:pPr>
      <w:r>
        <w:rPr>
          <w:rFonts w:ascii="Arial" w:hAnsi="Arial"/>
        </w:rPr>
        <w:t xml:space="preserve">Power boundary engineering: Handling rules for three types of boundary cases, plus technical hard locks that cannot be bypassed by any instruction, ensure that boundaries are not vague policy statements but precise technical constraints.</w:t>
      </w:r>
    </w:p>
    <w:p>
      <w:pPr>
        <w:numPr>
          <w:ilvl w:val="0"/>
          <w:numId w:val="1007"/>
        </w:numPr>
      </w:pPr>
      <w:r>
        <w:rPr>
          <w:rFonts w:ascii="Arial" w:hAnsi="Arial"/>
        </w:rPr>
        <w:t xml:space="preserve">Gradual transition design: Three-phase capability transfer roadmap, with transition pace determined by the speed of residents’ trust accumulation rather than the speed of technological progress.</w:t>
      </w:r>
    </w:p>
    <w:p>
      <w:pPr>
        <w:pStyle w:val="FirstParagraph"/>
      </w:pPr>
      <w:r>
        <w:rPr>
          <w:rFonts w:ascii="Arial" w:hAnsi="Arial"/>
        </w:rPr>
        <w:t xml:space="preserve">Chapter Four will enter the most revolutionary domain of the Constitutional AI Governance system: AI Justice. It is the module with the greatest social controversy and the strongest demonstration effect in the entire system——because judicial fairness is something everyone can directly feel.</w:t>
      </w:r>
    </w:p>
    <w:p>
      <w:pPr>
        <w:pStyle w:val="BodyText"/>
      </w:pPr>
      <w:r>
        <w:rPr>
          <w:rFonts w:ascii="Arial" w:hAnsi="Arial"/>
          <w:i/>
        </w:rPr>
        <w:t xml:space="preserve">This chapter contains approximately 10,400 characters</w:t>
      </w:r>
    </w:p>
    <w:p>
      <w:pPr>
        <w:pStyle w:val="BodyText"/>
      </w:pPr>
      <w:r>
        <w:rPr>
          <w:rFonts w:ascii="Arial" w:hAnsi="Arial"/>
          <w:i/>
        </w:rPr>
        <w:t xml:space="preserve">AI Civilization Governance Whitepaper v1.0 · Chapter 3</w:t>
      </w:r>
    </w:p>
    <w:sectPr>
      <w:headerReference w:type="default" r:id="rId9"/>
      <w:footerReference w:type="default" r:id="rId10"/>
      <w:pgMar w:top="1440" w:bottom="1440" w:left="1728" w:right="17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color w:val="808080"/>
        <w:sz w:val="18"/>
      </w:rPr>
      <w:t xml:space="preserve">Page </w:t>
    </w:r>
    <w:r>
      <w:fldChar w:fldCharType="begin"/>
    </w:r>
    <w:r>
      <w:instrText xml:space="preserve"> PAGE </w:instrText>
    </w:r>
    <w:r>
      <w:fldChar w:fldCharType="end"/>
    </w:r>
    <w:r>
      <w:rPr>
        <w:rFonts w:ascii="Arial" w:hAnsi="Arial"/>
        <w:color w:val="808080"/>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1" w:color="CCCCCC"/>
      </w:pBdr>
    </w:pPr>
    <w:r/>
    <w:r>
      <w:rPr>
        <w:rFonts w:ascii="Arial" w:hAnsi="Arial"/>
        <w:color w:val="808080"/>
        <w:sz w:val="18"/>
      </w:rPr>
      <w:t>DAOTONG AI Governance Whitepaper · Chapter 3</w:t>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6">
    <w:nsid w:val="47261bad"/>
    <w:multiLevelType w:val="multilevel"/>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start w:val="6"/>
      <w:numFmt w:val="decimal"/>
      <w:lvlText w:val="%8."/>
      <w:lvlJc w:val="left"/>
      <w:pPr>
        <w:tabs>
          <w:tab w:val="num" w:pos="5040"/>
        </w:tabs>
        <w:ind w:left="5520" w:hanging="480"/>
      </w:pPr>
    </w:lvl>
    <w:lvl w:ilvl="8">
      <w:start w:val="6"/>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6">
    <w:abstractNumId w:val="991"/>
  </w:num>
  <w:num w:numId="1007">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Pr>
      <w:rFonts w:ascii="Arial" w:hAnsi="Arial" w:cs="Arial"/>
      <w:sz w:val="22"/>
    </w:rPr>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2026-06-28T11:30:20Z</dcterms:created>
  <dcterms:modified xsi:type="dcterms:W3CDTF">2026-06-28T11:30:20Z</dcterms:modified>
</cp:coreProperties>
</file>

<file path=docProps/custom.xml><?xml version="1.0" encoding="utf-8"?>
<Properties xmlns="http://schemas.openxmlformats.org/officeDocument/2006/custom-properties" xmlns:vt="http://schemas.openxmlformats.org/officeDocument/2006/docPropsVTypes"/>
</file>