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Arial" w:hAnsi="Arial"/>
          <w:b/>
          <w:sz w:val="22"/>
        </w:rPr>
        <w:t>AI Social Governance Brain · Complete Technical Specification v1.0</w:t>
      </w:r>
    </w:p>
    <w:p>
      <w:r>
        <w:rPr>
          <w:rFonts w:ascii="Arial" w:hAnsi="Arial"/>
          <w:sz w:val="22"/>
        </w:rPr>
        <w:t>---</w:t>
      </w:r>
    </w:p>
    <w:p>
      <w:r>
        <w:rPr>
          <w:rFonts w:ascii="Arial" w:hAnsi="Arial"/>
          <w:sz w:val="22"/>
        </w:rPr>
        <w:t>---</w:t>
      </w:r>
    </w:p>
    <w:p>
      <w:r>
        <w:rPr>
          <w:rFonts w:ascii="Arial" w:hAnsi="Arial"/>
          <w:b/>
          <w:sz w:val="22"/>
        </w:rPr>
        <w:t>I. Solution Overview</w:t>
      </w:r>
    </w:p>
    <w:p>
      <w:r>
        <w:rPr>
          <w:rFonts w:ascii="Arial" w:hAnsi="Arial"/>
          <w:sz w:val="22"/>
        </w:rPr>
        <w:t>Technical Architecture Design of the AI Governance Core System (AIGC) Based on the Most Mature Open-Source Models</w:t>
      </w:r>
    </w:p>
    <w:tbl>
      <w:tblPr>
        <w:tblStyle w:val="LightShading-Accent1"/>
        <w:tblW w:type="auto" w:w="0"/>
        <w:tblLook w:firstColumn="1" w:firstRow="1" w:lastColumn="0" w:lastRow="0" w:noHBand="0" w:noVBand="1" w:val="04A0"/>
      </w:tblPr>
      <w:tblGrid>
        <w:gridCol w:w="9360"/>
      </w:tblGrid>
      <w:tr>
        <w:tc>
          <w:tcPr>
            <w:tcW w:type="dxa" w:w="9360"/>
          </w:tcPr>
          <w:p>
            <w:r>
              <w:rPr>
                <w:rFonts w:ascii="Arial" w:hAnsi="Arial"/>
                <w:b/>
                <w:sz w:val="18"/>
              </w:rPr>
              <w:t>Core Objective: Construct an AI Governance Core System (AIGC) based on mature open-source large language models, serving as the "brain" of the AI Civilization Governance System, to achieve automated rule execution, explainable decision-making processes, full auditability, and correctable deviations.</w:t>
            </w:r>
          </w:p>
        </w:tc>
      </w:tr>
    </w:tbl>
    <w:p>
      <w:r>
        <w:rPr>
          <w:rFonts w:ascii="Arial" w:hAnsi="Arial"/>
          <w:b/>
          <w:sz w:val="22"/>
        </w:rPr>
        <w:t>1.1 Design Philosophy</w:t>
      </w:r>
    </w:p>
    <w:p>
      <w:r>
        <w:rPr>
          <w:rFonts w:ascii="Arial" w:hAnsi="Arial"/>
          <w:sz w:val="22"/>
        </w:rPr>
        <w:t>This solution adheres to the constitutional AI governance principles established in the Whitepaper, with technical design strictly aligned to the following core philosophies:</w:t>
      </w:r>
    </w:p>
    <w:p>
      <w:pPr>
        <w:pStyle w:val="ListBullet"/>
      </w:pPr>
      <w:r>
        <w:rPr>
          <w:rFonts w:ascii="Arial" w:hAnsi="Arial"/>
          <w:b/>
          <w:sz w:val="22"/>
        </w:rPr>
        <w:t>Rule Execution Machine, Not Decision Maker</w:t>
      </w:r>
      <w:r>
        <w:rPr>
          <w:rFonts w:ascii="Arial" w:hAnsi="Arial"/>
          <w:sz w:val="22"/>
        </w:rPr>
        <w:t>: The AI system only executes rules confirmed through democratic procedures and does not possess ultimate decision-making authority</w:t>
      </w:r>
    </w:p>
    <w:p>
      <w:pPr>
        <w:pStyle w:val="ListBullet"/>
      </w:pPr>
      <w:r>
        <w:rPr>
          <w:rFonts w:ascii="Arial" w:hAnsi="Arial"/>
          <w:b/>
          <w:sz w:val="22"/>
        </w:rPr>
        <w:t>Explainability Over Accuracy</w:t>
      </w:r>
      <w:r>
        <w:rPr>
          <w:rFonts w:ascii="Arial" w:hAnsi="Arial"/>
          <w:sz w:val="22"/>
        </w:rPr>
        <w:t>: All decisions must generate human-readable reasoning chains; black-box decisions are invalid</w:t>
      </w:r>
    </w:p>
    <w:p>
      <w:pPr>
        <w:pStyle w:val="ListBullet"/>
      </w:pPr>
      <w:r>
        <w:rPr>
          <w:rFonts w:ascii="Arial" w:hAnsi="Arial"/>
          <w:b/>
          <w:sz w:val="22"/>
        </w:rPr>
        <w:t>Determinism Over Adaptability</w:t>
      </w:r>
      <w:r>
        <w:rPr>
          <w:rFonts w:ascii="Arial" w:hAnsi="Arial"/>
          <w:sz w:val="22"/>
        </w:rPr>
        <w:t>: The system does not engage in continuous self-learning during operation; rule updates proceed through explicit legislative procedures</w:t>
      </w:r>
    </w:p>
    <w:p>
      <w:pPr>
        <w:pStyle w:val="ListBullet"/>
      </w:pPr>
      <w:r>
        <w:rPr>
          <w:rFonts w:ascii="Arial" w:hAnsi="Arial"/>
          <w:b/>
          <w:sz w:val="22"/>
        </w:rPr>
        <w:t>Principle of Least Privilege</w:t>
      </w:r>
      <w:r>
        <w:rPr>
          <w:rFonts w:ascii="Arial" w:hAnsi="Arial"/>
          <w:sz w:val="22"/>
        </w:rPr>
        <w:t>: Each module can only access the minimum dataset required to fulfill its responsibilities</w:t>
      </w:r>
    </w:p>
    <w:p>
      <w:pPr>
        <w:pStyle w:val="ListBullet"/>
      </w:pPr>
      <w:r>
        <w:rPr>
          <w:rFonts w:ascii="Arial" w:hAnsi="Arial"/>
          <w:b/>
          <w:sz w:val="22"/>
        </w:rPr>
        <w:t>Fail-Safe Mode</w:t>
      </w:r>
      <w:r>
        <w:rPr>
          <w:rFonts w:ascii="Arial" w:hAnsi="Arial"/>
          <w:sz w:val="22"/>
        </w:rPr>
        <w:t>: When encountering situations that cannot be handled, default to stopping and requesting human intervention</w:t>
      </w:r>
    </w:p>
    <w:p>
      <w:r>
        <w:rPr>
          <w:rFonts w:ascii="Arial" w:hAnsi="Arial"/>
          <w:b/>
          <w:sz w:val="22"/>
        </w:rPr>
        <w:t>1.2 System Positioning and Boundaries</w:t>
      </w:r>
    </w:p>
    <w:tbl>
      <w:tblPr>
        <w:tblStyle w:val="LightShading-Accent1"/>
        <w:tblW w:type="auto" w:w="0"/>
        <w:tblLook w:firstColumn="1" w:firstRow="1" w:lastColumn="0" w:lastRow="0" w:noHBand="0" w:noVBand="1" w:val="04A0"/>
      </w:tblPr>
      <w:tblGrid>
        <w:gridCol w:w="3120"/>
        <w:gridCol w:w="3120"/>
        <w:gridCol w:w="3120"/>
      </w:tblGrid>
      <w:tr>
        <w:tc>
          <w:tcPr>
            <w:tcW w:type="dxa" w:w="3120"/>
          </w:tcPr>
          <w:p>
            <w:r>
              <w:rPr>
                <w:rFonts w:ascii="Arial" w:hAnsi="Arial"/>
                <w:b/>
                <w:sz w:val="18"/>
              </w:rPr>
              <w:t>Dimension</w:t>
            </w:r>
          </w:p>
        </w:tc>
        <w:tc>
          <w:tcPr>
            <w:tcW w:type="dxa" w:w="3120"/>
          </w:tcPr>
          <w:p>
            <w:r>
              <w:rPr>
                <w:rFonts w:ascii="Arial" w:hAnsi="Arial"/>
                <w:b/>
                <w:sz w:val="18"/>
              </w:rPr>
              <w:t>AIGC Responsibilities</w:t>
            </w:r>
          </w:p>
        </w:tc>
        <w:tc>
          <w:tcPr>
            <w:tcW w:type="dxa" w:w="3120"/>
          </w:tcPr>
          <w:p>
            <w:r>
              <w:rPr>
                <w:rFonts w:ascii="Arial" w:hAnsi="Arial"/>
                <w:b/>
                <w:sz w:val="18"/>
              </w:rPr>
              <w:t>Human Responsibilities</w:t>
            </w:r>
          </w:p>
        </w:tc>
      </w:tr>
      <w:tr>
        <w:tc>
          <w:tcPr>
            <w:tcW w:type="dxa" w:w="3120"/>
          </w:tcPr>
          <w:p>
            <w:r>
              <w:rPr>
                <w:rFonts w:ascii="Arial" w:hAnsi="Arial"/>
                <w:sz w:val="18"/>
              </w:rPr>
              <w:t>Rule Formulation</w:t>
            </w:r>
          </w:p>
        </w:tc>
        <w:tc>
          <w:tcPr>
            <w:tcW w:type="dxa" w:w="3120"/>
          </w:tcPr>
          <w:p>
            <w:r>
              <w:rPr>
                <w:rFonts w:ascii="Arial" w:hAnsi="Arial"/>
                <w:sz w:val="18"/>
              </w:rPr>
              <w:t>Encoding rules into executable logic</w:t>
            </w:r>
          </w:p>
        </w:tc>
        <w:tc>
          <w:tcPr>
            <w:tcW w:type="dxa" w:w="3120"/>
          </w:tcPr>
          <w:p>
            <w:r>
              <w:rPr>
                <w:rFonts w:ascii="Arial" w:hAnsi="Arial"/>
                <w:sz w:val="18"/>
              </w:rPr>
              <w:t>Determining rule content, values, and ethical weights</w:t>
            </w:r>
          </w:p>
        </w:tc>
      </w:tr>
      <w:tr>
        <w:tc>
          <w:tcPr>
            <w:tcW w:type="dxa" w:w="3120"/>
          </w:tcPr>
          <w:p>
            <w:r>
              <w:rPr>
                <w:rFonts w:ascii="Arial" w:hAnsi="Arial"/>
                <w:sz w:val="18"/>
              </w:rPr>
              <w:t>Daily Execution</w:t>
            </w:r>
          </w:p>
        </w:tc>
        <w:tc>
          <w:tcPr>
            <w:tcW w:type="dxa" w:w="3120"/>
          </w:tcPr>
          <w:p>
            <w:r>
              <w:rPr>
                <w:rFonts w:ascii="Arial" w:hAnsi="Arial"/>
                <w:sz w:val="18"/>
              </w:rPr>
              <w:t>Automatically processing routine cases that conform to rules</w:t>
            </w:r>
          </w:p>
        </w:tc>
        <w:tc>
          <w:tcPr>
            <w:tcW w:type="dxa" w:w="3120"/>
          </w:tcPr>
          <w:p>
            <w:r>
              <w:rPr>
                <w:rFonts w:ascii="Arial" w:hAnsi="Arial"/>
                <w:sz w:val="18"/>
              </w:rPr>
              <w:t>Handling rule gaps, rule conflicts, and edge cases</w:t>
            </w:r>
          </w:p>
        </w:tc>
      </w:tr>
      <w:tr>
        <w:tc>
          <w:tcPr>
            <w:tcW w:type="dxa" w:w="3120"/>
          </w:tcPr>
          <w:p>
            <w:r>
              <w:rPr>
                <w:rFonts w:ascii="Arial" w:hAnsi="Arial"/>
                <w:sz w:val="18"/>
              </w:rPr>
              <w:t>Judicial Rulings</w:t>
            </w:r>
          </w:p>
        </w:tc>
        <w:tc>
          <w:tcPr>
            <w:tcW w:type="dxa" w:w="3120"/>
          </w:tcPr>
          <w:p>
            <w:r>
              <w:rPr>
                <w:rFonts w:ascii="Arial" w:hAnsi="Arial"/>
                <w:sz w:val="18"/>
              </w:rPr>
              <w:t>Evidence collection, ruling suggestion generation, jury management</w:t>
            </w:r>
          </w:p>
        </w:tc>
        <w:tc>
          <w:tcPr>
            <w:tcW w:type="dxa" w:w="3120"/>
          </w:tcPr>
          <w:p>
            <w:r>
              <w:rPr>
                <w:rFonts w:ascii="Arial" w:hAnsi="Arial"/>
                <w:sz w:val="18"/>
              </w:rPr>
              <w:t>Jury final confirmation, substantive judicial judgment</w:t>
            </w:r>
          </w:p>
        </w:tc>
      </w:tr>
      <w:tr>
        <w:tc>
          <w:tcPr>
            <w:tcW w:type="dxa" w:w="3120"/>
          </w:tcPr>
          <w:p>
            <w:r>
              <w:rPr>
                <w:rFonts w:ascii="Arial" w:hAnsi="Arial"/>
                <w:sz w:val="18"/>
              </w:rPr>
              <w:t>Fiscal Management</w:t>
            </w:r>
          </w:p>
        </w:tc>
        <w:tc>
          <w:tcPr>
            <w:tcW w:type="dxa" w:w="3120"/>
          </w:tcPr>
          <w:p>
            <w:r>
              <w:rPr>
                <w:rFonts w:ascii="Arial" w:hAnsi="Arial"/>
                <w:sz w:val="18"/>
              </w:rPr>
              <w:t>Budget execution, fund allocation, on-chain recording</w:t>
            </w:r>
          </w:p>
        </w:tc>
        <w:tc>
          <w:tcPr>
            <w:tcW w:type="dxa" w:w="3120"/>
          </w:tcPr>
          <w:p>
            <w:r>
              <w:rPr>
                <w:rFonts w:ascii="Arial" w:hAnsi="Arial"/>
                <w:sz w:val="18"/>
              </w:rPr>
              <w:t>Budget approval, major expenditure decisions</w:t>
            </w:r>
          </w:p>
        </w:tc>
      </w:tr>
      <w:tr>
        <w:tc>
          <w:tcPr>
            <w:tcW w:type="dxa" w:w="3120"/>
          </w:tcPr>
          <w:p>
            <w:r>
              <w:rPr>
                <w:rFonts w:ascii="Arial" w:hAnsi="Arial"/>
                <w:sz w:val="18"/>
              </w:rPr>
              <w:t>System Oversight</w:t>
            </w:r>
          </w:p>
        </w:tc>
        <w:tc>
          <w:tcPr>
            <w:tcW w:type="dxa" w:w="3120"/>
          </w:tcPr>
          <w:p>
            <w:r>
              <w:rPr>
                <w:rFonts w:ascii="Arial" w:hAnsi="Arial"/>
                <w:sz w:val="18"/>
              </w:rPr>
              <w:t>Behavior logging, statistical analysis, anomaly detection</w:t>
            </w:r>
          </w:p>
        </w:tc>
        <w:tc>
          <w:tcPr>
            <w:tcW w:type="dxa" w:w="3120"/>
          </w:tcPr>
          <w:p>
            <w:r>
              <w:rPr>
                <w:rFonts w:ascii="Arial" w:hAnsi="Arial"/>
                <w:sz w:val="18"/>
              </w:rPr>
              <w:t>Auditing, veto power, constitutional amendments</w:t>
            </w:r>
          </w:p>
        </w:tc>
      </w:tr>
    </w:tbl>
    <w:p>
      <w:r>
        <w:rPr>
          <w:rFonts w:ascii="Arial" w:hAnsi="Arial"/>
          <w:b/>
          <w:sz w:val="22"/>
        </w:rPr>
        <w:t>1.3 Technology Stack Overview</w:t>
      </w:r>
    </w:p>
    <w:tbl>
      <w:tblPr>
        <w:tblStyle w:val="LightShading-Accent1"/>
        <w:tblW w:type="auto" w:w="0"/>
        <w:tblLook w:firstColumn="1" w:firstRow="1" w:lastColumn="0" w:lastRow="0" w:noHBand="0" w:noVBand="1" w:val="04A0"/>
      </w:tblPr>
      <w:tblGrid>
        <w:gridCol w:w="4680"/>
        <w:gridCol w:w="4680"/>
      </w:tblGrid>
      <w:tr>
        <w:tc>
          <w:tcPr>
            <w:tcW w:type="dxa" w:w="4680"/>
          </w:tcPr>
          <w:p>
            <w:r>
              <w:rPr>
                <w:rFonts w:ascii="Arial" w:hAnsi="Arial"/>
                <w:b/>
                <w:sz w:val="18"/>
              </w:rPr>
              <w:t>Foundation Model Layer</w:t>
            </w:r>
          </w:p>
        </w:tc>
        <w:tc>
          <w:tcPr>
            <w:tcW w:type="dxa" w:w="4680"/>
          </w:tcPr>
          <w:p>
            <w:r>
              <w:rPr>
                <w:rFonts w:ascii="Arial" w:hAnsi="Arial"/>
                <w:b/>
                <w:sz w:val="18"/>
              </w:rPr>
              <w:t>Technical Framework Layer</w:t>
            </w:r>
          </w:p>
        </w:tc>
      </w:tr>
      <w:tr>
        <w:tc>
          <w:tcPr>
            <w:tcW w:type="dxa" w:w="4680"/>
          </w:tcPr>
          <w:p>
            <w:r>
              <w:rPr>
                <w:rFonts w:ascii="Arial" w:hAnsi="Arial"/>
                <w:sz w:val="18"/>
              </w:rPr>
              <w:t>-   Primary Model: Qwen3-72B / Llama 4-70B</w:t>
            </w:r>
          </w:p>
        </w:tc>
        <w:tc>
          <w:tcPr>
            <w:tcW w:type="dxa" w:w="4680"/>
          </w:tcPr>
          <w:p>
            <w:r>
              <w:rPr>
                <w:rFonts w:ascii="Arial" w:hAnsi="Arial"/>
                <w:sz w:val="18"/>
              </w:rPr>
              <w:t>-   Fine-tuning Framework: PEFT / LoRA / QLoRA</w:t>
            </w:r>
          </w:p>
        </w:tc>
      </w:tr>
      <w:tr>
        <w:tc>
          <w:tcPr>
            <w:tcW w:type="dxa" w:w="4680"/>
          </w:tcPr>
          <w:p>
            <w:r>
              <w:rPr>
                <w:rFonts w:ascii="Arial" w:hAnsi="Arial"/>
                <w:sz w:val="18"/>
              </w:rPr>
              <w:t>-   Reasoning Model: DeepSeek-R1</w:t>
            </w:r>
          </w:p>
        </w:tc>
        <w:tc>
          <w:tcPr>
            <w:tcW w:type="dxa" w:w="4680"/>
          </w:tcPr>
          <w:p>
            <w:r>
              <w:rPr>
                <w:rFonts w:ascii="Arial" w:hAnsi="Arial"/>
                <w:sz w:val="18"/>
              </w:rPr>
              <w:t>-   Reasoning Framework: vLLM + TensorRT-LLM</w:t>
            </w:r>
          </w:p>
        </w:tc>
      </w:tr>
      <w:tr>
        <w:tc>
          <w:tcPr>
            <w:tcW w:type="dxa" w:w="4680"/>
          </w:tcPr>
          <w:p>
            <w:r>
              <w:rPr>
                <w:rFonts w:ascii="Arial" w:hAnsi="Arial"/>
                <w:sz w:val="18"/>
              </w:rPr>
              <w:t>-   Code Model: DeepSeek-Coder-V2</w:t>
            </w:r>
          </w:p>
        </w:tc>
        <w:tc>
          <w:tcPr>
            <w:tcW w:type="dxa" w:w="4680"/>
          </w:tcPr>
          <w:p>
            <w:r>
              <w:rPr>
                <w:rFonts w:ascii="Arial" w:hAnsi="Arial"/>
                <w:sz w:val="18"/>
              </w:rPr>
              <w:t>-   RAG Framework: LlamaIndex + GraphRAG</w:t>
            </w:r>
          </w:p>
        </w:tc>
      </w:tr>
      <w:tr>
        <w:tc>
          <w:tcPr>
            <w:tcW w:type="dxa" w:w="4680"/>
          </w:tcPr>
          <w:p>
            <w:r>
              <w:rPr>
                <w:rFonts w:ascii="Arial" w:hAnsi="Arial"/>
                <w:sz w:val="18"/>
              </w:rPr>
              <w:t>-   Multilingual: Qwen2.5-72B</w:t>
            </w:r>
          </w:p>
        </w:tc>
        <w:tc>
          <w:tcPr>
            <w:tcW w:type="dxa" w:w="4680"/>
          </w:tcPr>
          <w:p>
            <w:r>
              <w:rPr>
                <w:rFonts w:ascii="Arial" w:hAnsi="Arial"/>
                <w:sz w:val="18"/>
              </w:rPr>
              <w:t>-   Knowledge Graph: Neo4j / LightRAG</w:t>
            </w:r>
          </w:p>
        </w:tc>
      </w:tr>
    </w:tbl>
    <w:tbl>
      <w:tblPr>
        <w:tblStyle w:val="LightShading-Accent1"/>
        <w:tblW w:type="auto" w:w="0"/>
        <w:tblLook w:firstColumn="1" w:firstRow="1" w:lastColumn="0" w:lastRow="0" w:noHBand="0" w:noVBand="1" w:val="04A0"/>
      </w:tblPr>
      <w:tblGrid>
        <w:gridCol w:w="4680"/>
        <w:gridCol w:w="4680"/>
      </w:tblGrid>
      <w:tr>
        <w:tc>
          <w:tcPr>
            <w:tcW w:type="dxa" w:w="4680"/>
          </w:tcPr>
          <w:p>
            <w:r>
              <w:rPr>
                <w:rFonts w:ascii="Arial" w:hAnsi="Arial"/>
                <w:b/>
                <w:sz w:val="18"/>
              </w:rPr>
              <w:t>Infrastructure Layer</w:t>
            </w:r>
          </w:p>
        </w:tc>
        <w:tc>
          <w:tcPr>
            <w:tcW w:type="dxa" w:w="4680"/>
          </w:tcPr>
          <w:p>
            <w:r>
              <w:rPr>
                <w:rFonts w:ascii="Arial" w:hAnsi="Arial"/>
                <w:b/>
                <w:sz w:val="18"/>
              </w:rPr>
              <w:t>Security Layer</w:t>
            </w:r>
          </w:p>
        </w:tc>
      </w:tr>
      <w:tr>
        <w:tc>
          <w:tcPr>
            <w:tcW w:type="dxa" w:w="4680"/>
          </w:tcPr>
          <w:p>
            <w:r>
              <w:rPr>
                <w:rFonts w:ascii="Arial" w:hAnsi="Arial"/>
                <w:sz w:val="18"/>
              </w:rPr>
              <w:t>-   GPU Cluster: NVIDIA H100 / H200</w:t>
            </w:r>
          </w:p>
        </w:tc>
        <w:tc>
          <w:tcPr>
            <w:tcW w:type="dxa" w:w="4680"/>
          </w:tcPr>
          <w:p>
            <w:r>
              <w:rPr>
                <w:rFonts w:ascii="Arial" w:hAnsi="Arial"/>
                <w:sz w:val="18"/>
              </w:rPr>
              <w:t>-   Constitutional Hard Constraints: Firmware-layer hash lock</w:t>
            </w:r>
          </w:p>
        </w:tc>
      </w:tr>
      <w:tr>
        <w:tc>
          <w:tcPr>
            <w:tcW w:type="dxa" w:w="4680"/>
          </w:tcPr>
          <w:p>
            <w:r>
              <w:rPr>
                <w:rFonts w:ascii="Arial" w:hAnsi="Arial"/>
                <w:sz w:val="18"/>
              </w:rPr>
              <w:t>-   Blockchain: Ethereum-compatible chain + ZKP</w:t>
            </w:r>
          </w:p>
        </w:tc>
        <w:tc>
          <w:tcPr>
            <w:tcW w:type="dxa" w:w="4680"/>
          </w:tcPr>
          <w:p>
            <w:r>
              <w:rPr>
                <w:rFonts w:ascii="Arial" w:hAnsi="Arial"/>
                <w:sz w:val="18"/>
              </w:rPr>
              <w:t>-   Alignment Technology: Constitutional AI + DPO</w:t>
            </w:r>
          </w:p>
        </w:tc>
      </w:tr>
      <w:tr>
        <w:tc>
          <w:tcPr>
            <w:tcW w:type="dxa" w:w="4680"/>
          </w:tcPr>
          <w:p>
            <w:r>
              <w:rPr>
                <w:rFonts w:ascii="Arial" w:hAnsi="Arial"/>
                <w:sz w:val="18"/>
              </w:rPr>
              <w:t>-   Container Orchestration: Kubernetes</w:t>
            </w:r>
          </w:p>
        </w:tc>
        <w:tc>
          <w:tcPr>
            <w:tcW w:type="dxa" w:w="4680"/>
          </w:tcPr>
          <w:p>
            <w:r>
              <w:rPr>
                <w:rFonts w:ascii="Arial" w:hAnsi="Arial"/>
                <w:sz w:val="18"/>
              </w:rPr>
              <w:t>-   Explainability: Reasoning chains + causal verification</w:t>
            </w:r>
          </w:p>
        </w:tc>
      </w:tr>
      <w:tr>
        <w:tc>
          <w:tcPr>
            <w:tcW w:type="dxa" w:w="4680"/>
          </w:tcPr>
          <w:p>
            <w:r>
              <w:rPr>
                <w:rFonts w:ascii="Arial" w:hAnsi="Arial"/>
                <w:sz w:val="18"/>
              </w:rPr>
              <w:t>-   Monitoring: Prometheus + Grafana</w:t>
            </w:r>
          </w:p>
        </w:tc>
        <w:tc>
          <w:tcPr>
            <w:tcW w:type="dxa" w:w="4680"/>
          </w:tcPr>
          <w:p>
            <w:r>
              <w:rPr>
                <w:rFonts w:ascii="Arial" w:hAnsi="Arial"/>
                <w:sz w:val="18"/>
              </w:rPr>
              <w:t>-   Bias Detection: Quarterly statistical audits</w:t>
            </w:r>
          </w:p>
        </w:tc>
      </w:tr>
    </w:tbl>
    <w:p>
      <w:r>
        <w:rPr>
          <w:rFonts w:ascii="Arial" w:hAnsi="Arial"/>
          <w:b/>
          <w:sz w:val="22"/>
        </w:rPr>
        <w:t>II. Model Selection Solution</w:t>
      </w:r>
    </w:p>
    <w:p>
      <w:r>
        <w:rPr>
          <w:rFonts w:ascii="Arial" w:hAnsi="Arial"/>
          <w:sz w:val="22"/>
        </w:rPr>
        <w:t>Foundation Model Selection and Proportioning for Nine Functional Modules</w:t>
      </w:r>
    </w:p>
    <w:p>
      <w:r>
        <w:rPr>
          <w:rFonts w:ascii="Arial" w:hAnsi="Arial"/>
          <w:b/>
          <w:sz w:val="22"/>
        </w:rPr>
        <w:t>2.1 Selection Principles</w:t>
      </w:r>
    </w:p>
    <w:tbl>
      <w:tblPr>
        <w:tblStyle w:val="LightShading-Accent1"/>
        <w:tblW w:type="auto" w:w="0"/>
        <w:tblLook w:firstColumn="1" w:firstRow="1" w:lastColumn="0" w:lastRow="0" w:noHBand="0" w:noVBand="1" w:val="04A0"/>
      </w:tblPr>
      <w:tblGrid>
        <w:gridCol w:w="9360"/>
      </w:tblGrid>
      <w:tr>
        <w:tc>
          <w:tcPr>
            <w:tcW w:type="dxa" w:w="9360"/>
          </w:tcPr>
          <w:p>
            <w:r>
              <w:rPr>
                <w:rFonts w:ascii="Arial" w:hAnsi="Arial"/>
                <w:b/>
                <w:sz w:val="18"/>
              </w:rPr>
              <w:t>Three Selection Principles: Open-source license compatibility (commercial use, modifiable), mature technical ecosystem (complete toolchain, active community), and performance meeting requirements (reasoning capability, long context, multilingual support)</w:t>
            </w:r>
          </w:p>
        </w:tc>
      </w:tr>
    </w:tbl>
    <w:p>
      <w:r>
        <w:rPr>
          <w:rFonts w:ascii="Arial" w:hAnsi="Arial"/>
          <w:b/>
          <w:sz w:val="22"/>
        </w:rPr>
        <w:t>Selection Dimension Weights</w:t>
      </w:r>
    </w:p>
    <w:tbl>
      <w:tblPr>
        <w:tblStyle w:val="LightShading-Accent1"/>
        <w:tblW w:type="auto" w:w="0"/>
        <w:tblLook w:firstColumn="1" w:firstRow="1" w:lastColumn="0" w:lastRow="0" w:noHBand="0" w:noVBand="1" w:val="04A0"/>
      </w:tblPr>
      <w:tblGrid>
        <w:gridCol w:w="3120"/>
        <w:gridCol w:w="3120"/>
        <w:gridCol w:w="3120"/>
      </w:tblGrid>
      <w:tr>
        <w:tc>
          <w:tcPr>
            <w:tcW w:type="dxa" w:w="3120"/>
          </w:tcPr>
          <w:p>
            <w:r>
              <w:rPr>
                <w:rFonts w:ascii="Arial" w:hAnsi="Arial"/>
                <w:b/>
                <w:sz w:val="18"/>
              </w:rPr>
              <w:t>Evaluation Dimension</w:t>
            </w:r>
          </w:p>
        </w:tc>
        <w:tc>
          <w:tcPr>
            <w:tcW w:type="dxa" w:w="3120"/>
          </w:tcPr>
          <w:p>
            <w:r>
              <w:rPr>
                <w:rFonts w:ascii="Arial" w:hAnsi="Arial"/>
                <w:b/>
                <w:sz w:val="18"/>
              </w:rPr>
              <w:t>Weight</w:t>
            </w:r>
          </w:p>
        </w:tc>
        <w:tc>
          <w:tcPr>
            <w:tcW w:type="dxa" w:w="3120"/>
          </w:tcPr>
          <w:p>
            <w:r>
              <w:rPr>
                <w:rFonts w:ascii="Arial" w:hAnsi="Arial"/>
                <w:b/>
                <w:sz w:val="18"/>
              </w:rPr>
              <w:t>Description</w:t>
            </w:r>
          </w:p>
        </w:tc>
      </w:tr>
      <w:tr>
        <w:tc>
          <w:tcPr>
            <w:tcW w:type="dxa" w:w="3120"/>
          </w:tcPr>
          <w:p>
            <w:r>
              <w:rPr>
                <w:rFonts w:ascii="Arial" w:hAnsi="Arial"/>
                <w:sz w:val="18"/>
              </w:rPr>
              <w:t>Open-source License</w:t>
            </w:r>
          </w:p>
        </w:tc>
        <w:tc>
          <w:tcPr>
            <w:tcW w:type="dxa" w:w="3120"/>
          </w:tcPr>
          <w:p>
            <w:r>
              <w:rPr>
                <w:rFonts w:ascii="Arial" w:hAnsi="Arial"/>
                <w:sz w:val="18"/>
              </w:rPr>
              <w:t>25%</w:t>
            </w:r>
          </w:p>
        </w:tc>
        <w:tc>
          <w:tcPr>
            <w:tcW w:type="dxa" w:w="3120"/>
          </w:tcPr>
          <w:p>
            <w:r>
              <w:rPr>
                <w:rFonts w:ascii="Arial" w:hAnsi="Arial"/>
                <w:sz w:val="18"/>
              </w:rPr>
              <w:t>Must allow commercial use, modification, and redistribution; compliant with Article 8 of the Whitepaper "All core code must be open-source"</w:t>
            </w:r>
          </w:p>
        </w:tc>
      </w:tr>
      <w:tr>
        <w:tc>
          <w:tcPr>
            <w:tcW w:type="dxa" w:w="3120"/>
          </w:tcPr>
          <w:p>
            <w:r>
              <w:rPr>
                <w:rFonts w:ascii="Arial" w:hAnsi="Arial"/>
                <w:sz w:val="18"/>
              </w:rPr>
              <w:t>Reasoning Capability</w:t>
            </w:r>
          </w:p>
        </w:tc>
        <w:tc>
          <w:tcPr>
            <w:tcW w:type="dxa" w:w="3120"/>
          </w:tcPr>
          <w:p>
            <w:r>
              <w:rPr>
                <w:rFonts w:ascii="Arial" w:hAnsi="Arial"/>
                <w:sz w:val="18"/>
              </w:rPr>
              <w:t>20%</w:t>
            </w:r>
          </w:p>
        </w:tc>
        <w:tc>
          <w:tcPr>
            <w:tcW w:type="dxa" w:w="3120"/>
          </w:tcPr>
          <w:p>
            <w:r>
              <w:rPr>
                <w:rFonts w:ascii="Arial" w:hAnsi="Arial"/>
                <w:sz w:val="18"/>
              </w:rPr>
              <w:t>Governance decisions require strong logical reasoning, causal analysis, and rule deduction capabilities</w:t>
            </w:r>
          </w:p>
        </w:tc>
      </w:tr>
      <w:tr>
        <w:tc>
          <w:tcPr>
            <w:tcW w:type="dxa" w:w="3120"/>
          </w:tcPr>
          <w:p>
            <w:r>
              <w:rPr>
                <w:rFonts w:ascii="Arial" w:hAnsi="Arial"/>
                <w:sz w:val="18"/>
              </w:rPr>
              <w:t>Explainability</w:t>
            </w:r>
          </w:p>
        </w:tc>
        <w:tc>
          <w:tcPr>
            <w:tcW w:type="dxa" w:w="3120"/>
          </w:tcPr>
          <w:p>
            <w:r>
              <w:rPr>
                <w:rFonts w:ascii="Arial" w:hAnsi="Arial"/>
                <w:sz w:val="18"/>
              </w:rPr>
              <w:t>20%</w:t>
            </w:r>
          </w:p>
        </w:tc>
        <w:tc>
          <w:tcPr>
            <w:tcW w:type="dxa" w:w="3120"/>
          </w:tcPr>
          <w:p>
            <w:r>
              <w:rPr>
                <w:rFonts w:ascii="Arial" w:hAnsi="Arial"/>
                <w:sz w:val="18"/>
              </w:rPr>
              <w:t>Support for chain-of-thought output, traceable reasoning process, and verifiable decision basis</w:t>
            </w:r>
          </w:p>
        </w:tc>
      </w:tr>
      <w:tr>
        <w:tc>
          <w:tcPr>
            <w:tcW w:type="dxa" w:w="3120"/>
          </w:tcPr>
          <w:p>
            <w:r>
              <w:rPr>
                <w:rFonts w:ascii="Arial" w:hAnsi="Arial"/>
                <w:sz w:val="18"/>
              </w:rPr>
              <w:t>Long Context</w:t>
            </w:r>
          </w:p>
        </w:tc>
        <w:tc>
          <w:tcPr>
            <w:tcW w:type="dxa" w:w="3120"/>
          </w:tcPr>
          <w:p>
            <w:r>
              <w:rPr>
                <w:rFonts w:ascii="Arial" w:hAnsi="Arial"/>
                <w:sz w:val="18"/>
              </w:rPr>
              <w:t>15%</w:t>
            </w:r>
          </w:p>
        </w:tc>
        <w:tc>
          <w:tcPr>
            <w:tcW w:type="dxa" w:w="3120"/>
          </w:tcPr>
          <w:p>
            <w:r>
              <w:rPr>
                <w:rFonts w:ascii="Arial" w:hAnsi="Arial"/>
                <w:sz w:val="18"/>
              </w:rPr>
              <w:t>Judicial cases and policy documents typically require processing long texts</w:t>
            </w:r>
          </w:p>
        </w:tc>
      </w:tr>
      <w:tr>
        <w:tc>
          <w:tcPr>
            <w:tcW w:type="dxa" w:w="3120"/>
          </w:tcPr>
          <w:p>
            <w:r>
              <w:rPr>
                <w:rFonts w:ascii="Arial" w:hAnsi="Arial"/>
                <w:sz w:val="18"/>
              </w:rPr>
              <w:t>Multilingual Support</w:t>
            </w:r>
          </w:p>
        </w:tc>
        <w:tc>
          <w:tcPr>
            <w:tcW w:type="dxa" w:w="3120"/>
          </w:tcPr>
          <w:p>
            <w:r>
              <w:rPr>
                <w:rFonts w:ascii="Arial" w:hAnsi="Arial"/>
                <w:sz w:val="18"/>
              </w:rPr>
              <w:t>10%</w:t>
            </w:r>
          </w:p>
        </w:tc>
        <w:tc>
          <w:tcPr>
            <w:tcW w:type="dxa" w:w="3120"/>
          </w:tcPr>
          <w:p>
            <w:r>
              <w:rPr>
                <w:rFonts w:ascii="Arial" w:hAnsi="Arial"/>
                <w:sz w:val="18"/>
              </w:rPr>
              <w:t>Global city alliance requires multilingual support</w:t>
            </w:r>
          </w:p>
        </w:tc>
      </w:tr>
      <w:tr>
        <w:tc>
          <w:tcPr>
            <w:tcW w:type="dxa" w:w="3120"/>
          </w:tcPr>
          <w:p>
            <w:r>
              <w:rPr>
                <w:rFonts w:ascii="Arial" w:hAnsi="Arial"/>
                <w:sz w:val="18"/>
              </w:rPr>
              <w:t>Deployment Cost</w:t>
            </w:r>
          </w:p>
        </w:tc>
        <w:tc>
          <w:tcPr>
            <w:tcW w:type="dxa" w:w="3120"/>
          </w:tcPr>
          <w:p>
            <w:r>
              <w:rPr>
                <w:rFonts w:ascii="Arial" w:hAnsi="Arial"/>
                <w:sz w:val="18"/>
              </w:rPr>
              <w:t>10%</w:t>
            </w:r>
          </w:p>
        </w:tc>
        <w:tc>
          <w:tcPr>
            <w:tcW w:type="dxa" w:w="3120"/>
          </w:tcPr>
          <w:p>
            <w:r>
              <w:rPr>
                <w:rFonts w:ascii="Arial" w:hAnsi="Arial"/>
                <w:sz w:val="18"/>
              </w:rPr>
              <w:t>Hardware requirements, inference speed, operational complexity</w:t>
            </w:r>
          </w:p>
        </w:tc>
      </w:tr>
    </w:tbl>
    <w:p>
      <w:r>
        <w:rPr>
          <w:rFonts w:ascii="Arial" w:hAnsi="Arial"/>
          <w:b/>
          <w:sz w:val="22"/>
        </w:rPr>
        <w:t>2.2 Primary Model Selection Comparison</w:t>
      </w:r>
    </w:p>
    <w:p>
      <w:r>
        <w:rPr>
          <w:rFonts w:ascii="Arial" w:hAnsi="Arial"/>
          <w:b/>
          <w:sz w:val="22"/>
        </w:rPr>
        <w:t>Candidate Model Evaluation</w:t>
      </w:r>
    </w:p>
    <w:tbl>
      <w:tblPr>
        <w:tblStyle w:val="LightShading-Accent1"/>
        <w:tblW w:type="auto" w:w="0"/>
        <w:tblLook w:firstColumn="1" w:firstRow="1" w:lastColumn="0" w:lastRow="0" w:noHBand="0" w:noVBand="1" w:val="04A0"/>
      </w:tblPr>
      <w:tblGrid>
        <w:gridCol w:w="1337"/>
        <w:gridCol w:w="1337"/>
        <w:gridCol w:w="1337"/>
        <w:gridCol w:w="1337"/>
        <w:gridCol w:w="1337"/>
        <w:gridCol w:w="1337"/>
        <w:gridCol w:w="1337"/>
      </w:tblGrid>
      <w:tr>
        <w:tc>
          <w:tcPr>
            <w:tcW w:type="dxa" w:w="1337"/>
          </w:tcPr>
          <w:p>
            <w:r>
              <w:rPr>
                <w:rFonts w:ascii="Arial" w:hAnsi="Arial"/>
                <w:b/>
                <w:sz w:val="18"/>
              </w:rPr>
              <w:t>Model</w:t>
            </w:r>
          </w:p>
        </w:tc>
        <w:tc>
          <w:tcPr>
            <w:tcW w:type="dxa" w:w="1337"/>
          </w:tcPr>
          <w:p>
            <w:r>
              <w:rPr>
                <w:rFonts w:ascii="Arial" w:hAnsi="Arial"/>
                <w:b/>
                <w:sz w:val="18"/>
              </w:rPr>
              <w:t>Parameter Scale</w:t>
            </w:r>
          </w:p>
        </w:tc>
        <w:tc>
          <w:tcPr>
            <w:tcW w:type="dxa" w:w="1337"/>
          </w:tcPr>
          <w:p>
            <w:r>
              <w:rPr>
                <w:rFonts w:ascii="Arial" w:hAnsi="Arial"/>
                <w:b/>
                <w:sz w:val="18"/>
              </w:rPr>
              <w:t>Open-source License</w:t>
            </w:r>
          </w:p>
        </w:tc>
        <w:tc>
          <w:tcPr>
            <w:tcW w:type="dxa" w:w="1337"/>
          </w:tcPr>
          <w:p>
            <w:r>
              <w:rPr>
                <w:rFonts w:ascii="Arial" w:hAnsi="Arial"/>
                <w:b/>
                <w:sz w:val="18"/>
              </w:rPr>
              <w:t>Reasoning Capability</w:t>
            </w:r>
          </w:p>
        </w:tc>
        <w:tc>
          <w:tcPr>
            <w:tcW w:type="dxa" w:w="1337"/>
          </w:tcPr>
          <w:p>
            <w:r>
              <w:rPr>
                <w:rFonts w:ascii="Arial" w:hAnsi="Arial"/>
                <w:b/>
                <w:sz w:val="18"/>
              </w:rPr>
              <w:t>Context Window</w:t>
            </w:r>
          </w:p>
        </w:tc>
        <w:tc>
          <w:tcPr>
            <w:tcW w:type="dxa" w:w="1337"/>
          </w:tcPr>
          <w:p>
            <w:r>
              <w:rPr>
                <w:rFonts w:ascii="Arial" w:hAnsi="Arial"/>
                <w:b/>
                <w:sz w:val="18"/>
              </w:rPr>
              <w:t>Multilingual</w:t>
            </w:r>
          </w:p>
        </w:tc>
        <w:tc>
          <w:tcPr>
            <w:tcW w:type="dxa" w:w="1337"/>
          </w:tcPr>
          <w:p>
            <w:r>
              <w:rPr>
                <w:rFonts w:ascii="Arial" w:hAnsi="Arial"/>
                <w:b/>
                <w:sz w:val="18"/>
              </w:rPr>
              <w:t>Overall Score</w:t>
            </w:r>
          </w:p>
        </w:tc>
      </w:tr>
      <w:tr>
        <w:tc>
          <w:tcPr>
            <w:tcW w:type="dxa" w:w="1337"/>
          </w:tcPr>
          <w:p>
            <w:r>
              <w:rPr>
                <w:rFonts w:ascii="Arial" w:hAnsi="Arial"/>
                <w:sz w:val="18"/>
              </w:rPr>
              <w:t>Qwen3-72B</w:t>
            </w:r>
          </w:p>
        </w:tc>
        <w:tc>
          <w:tcPr>
            <w:tcW w:type="dxa" w:w="1337"/>
          </w:tcPr>
          <w:p>
            <w:r>
              <w:rPr>
                <w:rFonts w:ascii="Arial" w:hAnsi="Arial"/>
                <w:sz w:val="18"/>
              </w:rPr>
              <w:t>72B (MoE 235B-A22B)</w:t>
            </w:r>
          </w:p>
        </w:tc>
        <w:tc>
          <w:tcPr>
            <w:tcW w:type="dxa" w:w="1337"/>
          </w:tcPr>
          <w:p>
            <w:r>
              <w:rPr>
                <w:rFonts w:ascii="Arial" w:hAnsi="Arial"/>
                <w:sz w:val="18"/>
              </w:rPr>
              <w:t>Apache 2.0</w:t>
            </w:r>
          </w:p>
        </w:tc>
        <w:tc>
          <w:tcPr>
            <w:tcW w:type="dxa" w:w="1337"/>
          </w:tcPr>
          <w:p>
            <w:r>
              <w:rPr>
                <w:rFonts w:ascii="Arial" w:hAnsi="Arial"/>
                <w:sz w:val="18"/>
              </w:rPr>
              <w:t>★★★★☆</w:t>
            </w:r>
          </w:p>
        </w:tc>
        <w:tc>
          <w:tcPr>
            <w:tcW w:type="dxa" w:w="1337"/>
          </w:tcPr>
          <w:p>
            <w:r>
              <w:rPr>
                <w:rFonts w:ascii="Arial" w:hAnsi="Arial"/>
                <w:sz w:val="18"/>
              </w:rPr>
              <w:t>128K</w:t>
            </w:r>
          </w:p>
        </w:tc>
        <w:tc>
          <w:tcPr>
            <w:tcW w:type="dxa" w:w="1337"/>
          </w:tcPr>
          <w:p>
            <w:r>
              <w:rPr>
                <w:rFonts w:ascii="Arial" w:hAnsi="Arial"/>
                <w:sz w:val="18"/>
              </w:rPr>
              <w:t>★★★★★</w:t>
            </w:r>
          </w:p>
        </w:tc>
        <w:tc>
          <w:tcPr>
            <w:tcW w:type="dxa" w:w="1337"/>
          </w:tcPr>
          <w:p>
            <w:r>
              <w:rPr>
                <w:rFonts w:ascii="Arial" w:hAnsi="Arial"/>
                <w:sz w:val="18"/>
              </w:rPr>
              <w:t>92</w:t>
            </w:r>
          </w:p>
        </w:tc>
      </w:tr>
      <w:tr>
        <w:tc>
          <w:tcPr>
            <w:tcW w:type="dxa" w:w="1337"/>
          </w:tcPr>
          <w:p>
            <w:r>
              <w:rPr>
                <w:rFonts w:ascii="Arial" w:hAnsi="Arial"/>
                <w:sz w:val="18"/>
              </w:rPr>
              <w:t>Llama 4-70B</w:t>
            </w:r>
          </w:p>
        </w:tc>
        <w:tc>
          <w:tcPr>
            <w:tcW w:type="dxa" w:w="1337"/>
          </w:tcPr>
          <w:p>
            <w:r>
              <w:rPr>
                <w:rFonts w:ascii="Arial" w:hAnsi="Arial"/>
                <w:sz w:val="18"/>
              </w:rPr>
              <w:t>70B (Maverick)</w:t>
            </w:r>
          </w:p>
        </w:tc>
        <w:tc>
          <w:tcPr>
            <w:tcW w:type="dxa" w:w="1337"/>
          </w:tcPr>
          <w:p>
            <w:r>
              <w:rPr>
                <w:rFonts w:ascii="Arial" w:hAnsi="Arial"/>
                <w:sz w:val="18"/>
              </w:rPr>
              <w:t>Meta Commercial</w:t>
            </w:r>
          </w:p>
        </w:tc>
        <w:tc>
          <w:tcPr>
            <w:tcW w:type="dxa" w:w="1337"/>
          </w:tcPr>
          <w:p>
            <w:r>
              <w:rPr>
                <w:rFonts w:ascii="Arial" w:hAnsi="Arial"/>
                <w:sz w:val="18"/>
              </w:rPr>
              <w:t>★★★★☆</w:t>
            </w:r>
          </w:p>
        </w:tc>
        <w:tc>
          <w:tcPr>
            <w:tcW w:type="dxa" w:w="1337"/>
          </w:tcPr>
          <w:p>
            <w:r>
              <w:rPr>
                <w:rFonts w:ascii="Arial" w:hAnsi="Arial"/>
                <w:sz w:val="18"/>
              </w:rPr>
              <w:t>128K</w:t>
            </w:r>
          </w:p>
        </w:tc>
        <w:tc>
          <w:tcPr>
            <w:tcW w:type="dxa" w:w="1337"/>
          </w:tcPr>
          <w:p>
            <w:r>
              <w:rPr>
                <w:rFonts w:ascii="Arial" w:hAnsi="Arial"/>
                <w:sz w:val="18"/>
              </w:rPr>
              <w:t>★★★☆☆</w:t>
            </w:r>
          </w:p>
        </w:tc>
        <w:tc>
          <w:tcPr>
            <w:tcW w:type="dxa" w:w="1337"/>
          </w:tcPr>
          <w:p>
            <w:r>
              <w:rPr>
                <w:rFonts w:ascii="Arial" w:hAnsi="Arial"/>
                <w:sz w:val="18"/>
              </w:rPr>
              <w:t>85</w:t>
            </w:r>
          </w:p>
        </w:tc>
      </w:tr>
      <w:tr>
        <w:tc>
          <w:tcPr>
            <w:tcW w:type="dxa" w:w="1337"/>
          </w:tcPr>
          <w:p>
            <w:r>
              <w:rPr>
                <w:rFonts w:ascii="Arial" w:hAnsi="Arial"/>
                <w:sz w:val="18"/>
              </w:rPr>
              <w:t>DeepSeek-R1</w:t>
            </w:r>
          </w:p>
        </w:tc>
        <w:tc>
          <w:tcPr>
            <w:tcW w:type="dxa" w:w="1337"/>
          </w:tcPr>
          <w:p>
            <w:r>
              <w:rPr>
                <w:rFonts w:ascii="Arial" w:hAnsi="Arial"/>
                <w:sz w:val="18"/>
              </w:rPr>
              <w:t>660B (MoE)</w:t>
            </w:r>
          </w:p>
        </w:tc>
        <w:tc>
          <w:tcPr>
            <w:tcW w:type="dxa" w:w="1337"/>
          </w:tcPr>
          <w:p>
            <w:r>
              <w:rPr>
                <w:rFonts w:ascii="Arial" w:hAnsi="Arial"/>
                <w:sz w:val="18"/>
              </w:rPr>
              <w:t>DeepSeek License</w:t>
            </w:r>
          </w:p>
        </w:tc>
        <w:tc>
          <w:tcPr>
            <w:tcW w:type="dxa" w:w="1337"/>
          </w:tcPr>
          <w:p>
            <w:r>
              <w:rPr>
                <w:rFonts w:ascii="Arial" w:hAnsi="Arial"/>
                <w:sz w:val="18"/>
              </w:rPr>
              <w:t>★★★★★</w:t>
            </w:r>
          </w:p>
        </w:tc>
        <w:tc>
          <w:tcPr>
            <w:tcW w:type="dxa" w:w="1337"/>
          </w:tcPr>
          <w:p>
            <w:r>
              <w:rPr>
                <w:rFonts w:ascii="Arial" w:hAnsi="Arial"/>
                <w:sz w:val="18"/>
              </w:rPr>
              <w:t>128K</w:t>
            </w:r>
          </w:p>
        </w:tc>
        <w:tc>
          <w:tcPr>
            <w:tcW w:type="dxa" w:w="1337"/>
          </w:tcPr>
          <w:p>
            <w:r>
              <w:rPr>
                <w:rFonts w:ascii="Arial" w:hAnsi="Arial"/>
                <w:sz w:val="18"/>
              </w:rPr>
              <w:t>★★★★☆</w:t>
            </w:r>
          </w:p>
        </w:tc>
        <w:tc>
          <w:tcPr>
            <w:tcW w:type="dxa" w:w="1337"/>
          </w:tcPr>
          <w:p>
            <w:r>
              <w:rPr>
                <w:rFonts w:ascii="Arial" w:hAnsi="Arial"/>
                <w:sz w:val="18"/>
              </w:rPr>
              <w:t>88</w:t>
            </w:r>
          </w:p>
        </w:tc>
      </w:tr>
      <w:tr>
        <w:tc>
          <w:tcPr>
            <w:tcW w:type="dxa" w:w="1337"/>
          </w:tcPr>
          <w:p>
            <w:r>
              <w:rPr>
                <w:rFonts w:ascii="Arial" w:hAnsi="Arial"/>
                <w:sz w:val="18"/>
              </w:rPr>
              <w:t>Mistral Large 3</w:t>
            </w:r>
          </w:p>
        </w:tc>
        <w:tc>
          <w:tcPr>
            <w:tcW w:type="dxa" w:w="1337"/>
          </w:tcPr>
          <w:p>
            <w:r>
              <w:rPr>
                <w:rFonts w:ascii="Arial" w:hAnsi="Arial"/>
                <w:sz w:val="18"/>
              </w:rPr>
              <w:t>123B</w:t>
            </w:r>
          </w:p>
        </w:tc>
        <w:tc>
          <w:tcPr>
            <w:tcW w:type="dxa" w:w="1337"/>
          </w:tcPr>
          <w:p>
            <w:r>
              <w:rPr>
                <w:rFonts w:ascii="Arial" w:hAnsi="Arial"/>
                <w:sz w:val="18"/>
              </w:rPr>
              <w:t>Apache 2.0</w:t>
            </w:r>
          </w:p>
        </w:tc>
        <w:tc>
          <w:tcPr>
            <w:tcW w:type="dxa" w:w="1337"/>
          </w:tcPr>
          <w:p>
            <w:r>
              <w:rPr>
                <w:rFonts w:ascii="Arial" w:hAnsi="Arial"/>
                <w:sz w:val="18"/>
              </w:rPr>
              <w:t>★★★★☆</w:t>
            </w:r>
          </w:p>
        </w:tc>
        <w:tc>
          <w:tcPr>
            <w:tcW w:type="dxa" w:w="1337"/>
          </w:tcPr>
          <w:p>
            <w:r>
              <w:rPr>
                <w:rFonts w:ascii="Arial" w:hAnsi="Arial"/>
                <w:sz w:val="18"/>
              </w:rPr>
              <w:t>128K</w:t>
            </w:r>
          </w:p>
        </w:tc>
        <w:tc>
          <w:tcPr>
            <w:tcW w:type="dxa" w:w="1337"/>
          </w:tcPr>
          <w:p>
            <w:r>
              <w:rPr>
                <w:rFonts w:ascii="Arial" w:hAnsi="Arial"/>
                <w:sz w:val="18"/>
              </w:rPr>
              <w:t>★★★☆☆</w:t>
            </w:r>
          </w:p>
        </w:tc>
        <w:tc>
          <w:tcPr>
            <w:tcW w:type="dxa" w:w="1337"/>
          </w:tcPr>
          <w:p>
            <w:r>
              <w:rPr>
                <w:rFonts w:ascii="Arial" w:hAnsi="Arial"/>
                <w:sz w:val="18"/>
              </w:rPr>
              <w:t>80</w:t>
            </w:r>
          </w:p>
        </w:tc>
      </w:tr>
      <w:tr>
        <w:tc>
          <w:tcPr>
            <w:tcW w:type="dxa" w:w="1337"/>
          </w:tcPr>
          <w:p>
            <w:r>
              <w:rPr>
                <w:rFonts w:ascii="Arial" w:hAnsi="Arial"/>
                <w:sz w:val="18"/>
              </w:rPr>
              <w:t>GLM-4.7</w:t>
            </w:r>
          </w:p>
        </w:tc>
        <w:tc>
          <w:tcPr>
            <w:tcW w:type="dxa" w:w="1337"/>
          </w:tcPr>
          <w:p>
            <w:r>
              <w:rPr>
                <w:rFonts w:ascii="Arial" w:hAnsi="Arial"/>
                <w:sz w:val="18"/>
              </w:rPr>
              <w:t>72B</w:t>
            </w:r>
          </w:p>
        </w:tc>
        <w:tc>
          <w:tcPr>
            <w:tcW w:type="dxa" w:w="1337"/>
          </w:tcPr>
          <w:p>
            <w:r>
              <w:rPr>
                <w:rFonts w:ascii="Arial" w:hAnsi="Arial"/>
                <w:sz w:val="18"/>
              </w:rPr>
              <w:t>Apache 2.0</w:t>
            </w:r>
          </w:p>
        </w:tc>
        <w:tc>
          <w:tcPr>
            <w:tcW w:type="dxa" w:w="1337"/>
          </w:tcPr>
          <w:p>
            <w:r>
              <w:rPr>
                <w:rFonts w:ascii="Arial" w:hAnsi="Arial"/>
                <w:sz w:val="18"/>
              </w:rPr>
              <w:t>★★★☆☆</w:t>
            </w:r>
          </w:p>
        </w:tc>
        <w:tc>
          <w:tcPr>
            <w:tcW w:type="dxa" w:w="1337"/>
          </w:tcPr>
          <w:p>
            <w:r>
              <w:rPr>
                <w:rFonts w:ascii="Arial" w:hAnsi="Arial"/>
                <w:sz w:val="18"/>
              </w:rPr>
              <w:t>128K</w:t>
            </w:r>
          </w:p>
        </w:tc>
        <w:tc>
          <w:tcPr>
            <w:tcW w:type="dxa" w:w="1337"/>
          </w:tcPr>
          <w:p>
            <w:r>
              <w:rPr>
                <w:rFonts w:ascii="Arial" w:hAnsi="Arial"/>
                <w:sz w:val="18"/>
              </w:rPr>
              <w:t>★★★★☆</w:t>
            </w:r>
          </w:p>
        </w:tc>
        <w:tc>
          <w:tcPr>
            <w:tcW w:type="dxa" w:w="1337"/>
          </w:tcPr>
          <w:p>
            <w:r>
              <w:rPr>
                <w:rFonts w:ascii="Arial" w:hAnsi="Arial"/>
                <w:sz w:val="18"/>
              </w:rPr>
              <w:t>78</w:t>
            </w:r>
          </w:p>
        </w:tc>
      </w:tr>
    </w:tbl>
    <w:p>
      <w:r>
        <w:rPr>
          <w:rFonts w:ascii="Arial" w:hAnsi="Arial"/>
          <w:b/>
          <w:sz w:val="22"/>
        </w:rPr>
        <w:t>Final Selection Conclusion</w:t>
      </w:r>
    </w:p>
    <w:p>
      <w:r>
        <w:rPr>
          <w:rFonts w:ascii="Arial" w:hAnsi="Arial"/>
          <w:sz w:val="22"/>
        </w:rPr>
        <w:t>+----------------------------------------------------------------------+</w:t>
      </w:r>
    </w:p>
    <w:tbl>
      <w:tblPr>
        <w:tblStyle w:val="LightShading-Accent1"/>
        <w:tblW w:type="auto" w:w="0"/>
        <w:tblLook w:firstColumn="1" w:firstRow="1" w:lastColumn="0" w:lastRow="0" w:noHBand="0" w:noVBand="1" w:val="04A0"/>
      </w:tblPr>
      <w:tblGrid>
        <w:gridCol w:w="9360"/>
      </w:tblGrid>
      <w:tr>
        <w:tc>
          <w:tcPr>
            <w:tcW w:type="dxa" w:w="9360"/>
          </w:tcPr>
          <w:p>
            <w:r>
              <w:rPr>
                <w:rFonts w:ascii="Arial" w:hAnsi="Arial"/>
                <w:b/>
                <w:sz w:val="18"/>
              </w:rPr>
              <w:t>Recommended Primary Model: Qwen3-72B</w:t>
            </w:r>
          </w:p>
        </w:tc>
      </w:tr>
      <w:tr>
        <w:tc>
          <w:tcPr>
            <w:tcW w:type="dxa" w:w="9360"/>
          </w:tcPr>
          <w:p>
            <w:r>
              <w:rPr>
                <w:rFonts w:ascii="Arial" w:hAnsi="Arial"/>
                <w:sz w:val="18"/>
              </w:rPr>
              <w:t>Rationale: Apache 2.0 fully open-source license (no commercial</w:t>
            </w:r>
          </w:p>
        </w:tc>
      </w:tr>
      <w:tr>
        <w:tc>
          <w:tcPr>
            <w:tcW w:type="dxa" w:w="9360"/>
          </w:tcPr>
          <w:p>
            <w:r>
              <w:rPr>
                <w:rFonts w:ascii="Arial" w:hAnsi="Arial"/>
                <w:sz w:val="18"/>
              </w:rPr>
              <w:t>restrictions), balanced comprehensive capabilities, excellent</w:t>
            </w:r>
          </w:p>
        </w:tc>
      </w:tr>
      <w:tr>
        <w:tc>
          <w:tcPr>
            <w:tcW w:type="dxa" w:w="9360"/>
          </w:tcPr>
          <w:p>
            <w:r>
              <w:rPr>
                <w:rFonts w:ascii="Arial" w:hAnsi="Arial"/>
                <w:sz w:val="18"/>
              </w:rPr>
              <w:t>Chinese/multilingual support, active community ecosystem, mature</w:t>
            </w:r>
          </w:p>
        </w:tc>
      </w:tr>
      <w:tr>
        <w:tc>
          <w:tcPr>
            <w:tcW w:type="dxa" w:w="9360"/>
          </w:tcPr>
          <w:p>
            <w:r>
              <w:rPr>
                <w:rFonts w:ascii="Arial" w:hAnsi="Arial"/>
                <w:sz w:val="18"/>
              </w:rPr>
              <w:t>toolchain. Fully compliant with the "Zero Cost/Free Priority"</w:t>
            </w:r>
          </w:p>
        </w:tc>
      </w:tr>
      <w:tr>
        <w:tc>
          <w:tcPr>
            <w:tcW w:type="dxa" w:w="9360"/>
          </w:tcPr>
          <w:p>
            <w:r>
              <w:rPr>
                <w:rFonts w:ascii="Arial" w:hAnsi="Arial"/>
                <w:sz w:val="18"/>
              </w:rPr>
              <w:t>principle.</w:t>
            </w:r>
          </w:p>
        </w:tc>
      </w:tr>
    </w:tbl>
    <w:p>
      <w:r>
        <w:rPr>
          <w:rFonts w:ascii="Arial" w:hAnsi="Arial"/>
          <w:sz w:val="22"/>
        </w:rPr>
        <w:t>+----------------------------------------------------------------------+</w:t>
      </w:r>
    </w:p>
    <w:p>
      <w:r>
        <w:rPr>
          <w:rFonts w:ascii="Arial" w:hAnsi="Arial"/>
          <w:b/>
          <w:sz w:val="22"/>
        </w:rPr>
        <w:t>2.3 Nine Functional Module Model Configuration</w:t>
      </w:r>
    </w:p>
    <w:tbl>
      <w:tblPr>
        <w:tblStyle w:val="LightShading-Accent1"/>
        <w:tblW w:type="auto" w:w="0"/>
        <w:tblLook w:firstColumn="1" w:firstRow="1" w:lastColumn="0" w:lastRow="0" w:noHBand="0" w:noVBand="1" w:val="04A0"/>
      </w:tblPr>
      <w:tblGrid>
        <w:gridCol w:w="1872"/>
        <w:gridCol w:w="1872"/>
        <w:gridCol w:w="1872"/>
        <w:gridCol w:w="1872"/>
        <w:gridCol w:w="1872"/>
      </w:tblGrid>
      <w:tr>
        <w:tc>
          <w:tcPr>
            <w:tcW w:type="dxa" w:w="1872"/>
          </w:tcPr>
          <w:p>
            <w:r>
              <w:rPr>
                <w:rFonts w:ascii="Arial" w:hAnsi="Arial"/>
                <w:b/>
                <w:sz w:val="18"/>
              </w:rPr>
              <w:t>Module</w:t>
            </w:r>
          </w:p>
        </w:tc>
        <w:tc>
          <w:tcPr>
            <w:tcW w:type="dxa" w:w="1872"/>
          </w:tcPr>
          <w:p>
            <w:r>
              <w:rPr>
                <w:rFonts w:ascii="Arial" w:hAnsi="Arial"/>
                <w:b/>
                <w:sz w:val="18"/>
              </w:rPr>
              <w:t>Primary Model</w:t>
            </w:r>
          </w:p>
        </w:tc>
        <w:tc>
          <w:tcPr>
            <w:tcW w:type="dxa" w:w="1872"/>
          </w:tcPr>
          <w:p>
            <w:r>
              <w:rPr>
                <w:rFonts w:ascii="Arial" w:hAnsi="Arial"/>
                <w:b/>
                <w:sz w:val="18"/>
              </w:rPr>
              <w:t>Parameters</w:t>
            </w:r>
          </w:p>
        </w:tc>
        <w:tc>
          <w:tcPr>
            <w:tcW w:type="dxa" w:w="1872"/>
          </w:tcPr>
          <w:p>
            <w:r>
              <w:rPr>
                <w:rFonts w:ascii="Arial" w:hAnsi="Arial"/>
                <w:b/>
                <w:sz w:val="18"/>
              </w:rPr>
              <w:t>Fine-tuning Method</w:t>
            </w:r>
          </w:p>
        </w:tc>
        <w:tc>
          <w:tcPr>
            <w:tcW w:type="dxa" w:w="1872"/>
          </w:tcPr>
          <w:p>
            <w:r>
              <w:rPr>
                <w:rFonts w:ascii="Arial" w:hAnsi="Arial"/>
                <w:b/>
                <w:sz w:val="18"/>
              </w:rPr>
              <w:t>Special Requirements</w:t>
            </w:r>
          </w:p>
        </w:tc>
      </w:tr>
      <w:tr>
        <w:tc>
          <w:tcPr>
            <w:tcW w:type="dxa" w:w="1872"/>
          </w:tcPr>
          <w:p>
            <w:r>
              <w:rPr>
                <w:rFonts w:ascii="Arial" w:hAnsi="Arial"/>
                <w:sz w:val="18"/>
              </w:rPr>
              <w:t>Regulation Enforcement</w:t>
            </w:r>
          </w:p>
        </w:tc>
        <w:tc>
          <w:tcPr>
            <w:tcW w:type="dxa" w:w="1872"/>
          </w:tcPr>
          <w:p>
            <w:r>
              <w:rPr>
                <w:rFonts w:ascii="Arial" w:hAnsi="Arial"/>
                <w:sz w:val="18"/>
              </w:rPr>
              <w:t>Qwen3-72B</w:t>
            </w:r>
          </w:p>
        </w:tc>
        <w:tc>
          <w:tcPr>
            <w:tcW w:type="dxa" w:w="1872"/>
          </w:tcPr>
          <w:p>
            <w:r>
              <w:rPr>
                <w:rFonts w:ascii="Arial" w:hAnsi="Arial"/>
                <w:sz w:val="18"/>
              </w:rPr>
              <w:t>72B</w:t>
            </w:r>
          </w:p>
        </w:tc>
        <w:tc>
          <w:tcPr>
            <w:tcW w:type="dxa" w:w="1872"/>
          </w:tcPr>
          <w:p>
            <w:r>
              <w:rPr>
                <w:rFonts w:ascii="Arial" w:hAnsi="Arial"/>
                <w:sz w:val="18"/>
              </w:rPr>
              <w:t>QLoRA</w:t>
            </w:r>
          </w:p>
        </w:tc>
        <w:tc>
          <w:tcPr>
            <w:tcW w:type="dxa" w:w="1872"/>
          </w:tcPr>
          <w:p>
            <w:r>
              <w:rPr>
                <w:rFonts w:ascii="Arial" w:hAnsi="Arial"/>
                <w:sz w:val="18"/>
              </w:rPr>
              <w:t>Strict rule matching, mandatory reasoning chain output</w:t>
            </w:r>
          </w:p>
        </w:tc>
      </w:tr>
      <w:tr>
        <w:tc>
          <w:tcPr>
            <w:tcW w:type="dxa" w:w="1872"/>
          </w:tcPr>
          <w:p>
            <w:r>
              <w:rPr>
                <w:rFonts w:ascii="Arial" w:hAnsi="Arial"/>
                <w:sz w:val="18"/>
              </w:rPr>
              <w:t>Fiscal Management</w:t>
            </w:r>
          </w:p>
        </w:tc>
        <w:tc>
          <w:tcPr>
            <w:tcW w:type="dxa" w:w="1872"/>
          </w:tcPr>
          <w:p>
            <w:r>
              <w:rPr>
                <w:rFonts w:ascii="Arial" w:hAnsi="Arial"/>
                <w:sz w:val="18"/>
              </w:rPr>
              <w:t>Qwen3-32B</w:t>
            </w:r>
          </w:p>
        </w:tc>
        <w:tc>
          <w:tcPr>
            <w:tcW w:type="dxa" w:w="1872"/>
          </w:tcPr>
          <w:p>
            <w:r>
              <w:rPr>
                <w:rFonts w:ascii="Arial" w:hAnsi="Arial"/>
                <w:sz w:val="18"/>
              </w:rPr>
              <w:t>32B</w:t>
            </w:r>
          </w:p>
        </w:tc>
        <w:tc>
          <w:tcPr>
            <w:tcW w:type="dxa" w:w="1872"/>
          </w:tcPr>
          <w:p>
            <w:r>
              <w:rPr>
                <w:rFonts w:ascii="Arial" w:hAnsi="Arial"/>
                <w:sz w:val="18"/>
              </w:rPr>
              <w:t>QLoRA</w:t>
            </w:r>
          </w:p>
        </w:tc>
        <w:tc>
          <w:tcPr>
            <w:tcW w:type="dxa" w:w="1872"/>
          </w:tcPr>
          <w:p>
            <w:r>
              <w:rPr>
                <w:rFonts w:ascii="Arial" w:hAnsi="Arial"/>
                <w:sz w:val="18"/>
              </w:rPr>
              <w:t>Precise numerical calculation, strict format output</w:t>
            </w:r>
          </w:p>
        </w:tc>
      </w:tr>
      <w:tr>
        <w:tc>
          <w:tcPr>
            <w:tcW w:type="dxa" w:w="1872"/>
          </w:tcPr>
          <w:p>
            <w:r>
              <w:rPr>
                <w:rFonts w:ascii="Arial" w:hAnsi="Arial"/>
                <w:sz w:val="18"/>
              </w:rPr>
              <w:t>Judicial Assistance</w:t>
            </w:r>
          </w:p>
        </w:tc>
        <w:tc>
          <w:tcPr>
            <w:tcW w:type="dxa" w:w="1872"/>
          </w:tcPr>
          <w:p>
            <w:r>
              <w:rPr>
                <w:rFonts w:ascii="Arial" w:hAnsi="Arial"/>
                <w:sz w:val="18"/>
              </w:rPr>
              <w:t>Qwen3-72B + DeepSeek-R1</w:t>
            </w:r>
          </w:p>
        </w:tc>
        <w:tc>
          <w:tcPr>
            <w:tcW w:type="dxa" w:w="1872"/>
          </w:tcPr>
          <w:p>
            <w:r>
              <w:rPr>
                <w:rFonts w:ascii="Arial" w:hAnsi="Arial"/>
                <w:sz w:val="18"/>
              </w:rPr>
              <w:t>72B + 660B</w:t>
            </w:r>
          </w:p>
        </w:tc>
        <w:tc>
          <w:tcPr>
            <w:tcW w:type="dxa" w:w="1872"/>
          </w:tcPr>
          <w:p>
            <w:r>
              <w:rPr>
                <w:rFonts w:ascii="Arial" w:hAnsi="Arial"/>
                <w:sz w:val="18"/>
              </w:rPr>
              <w:t>QLoRA + SFT</w:t>
            </w:r>
          </w:p>
        </w:tc>
        <w:tc>
          <w:tcPr>
            <w:tcW w:type="dxa" w:w="1872"/>
          </w:tcPr>
          <w:p>
            <w:r>
              <w:rPr>
                <w:rFonts w:ascii="Arial" w:hAnsi="Arial"/>
                <w:sz w:val="18"/>
              </w:rPr>
              <w:t>Evidence chain analysis, precedent consistency verification</w:t>
            </w:r>
          </w:p>
        </w:tc>
      </w:tr>
      <w:tr>
        <w:tc>
          <w:tcPr>
            <w:tcW w:type="dxa" w:w="1872"/>
          </w:tcPr>
          <w:p>
            <w:r>
              <w:rPr>
                <w:rFonts w:ascii="Arial" w:hAnsi="Arial"/>
                <w:sz w:val="18"/>
              </w:rPr>
              <w:t>Administrative Approval</w:t>
            </w:r>
          </w:p>
        </w:tc>
        <w:tc>
          <w:tcPr>
            <w:tcW w:type="dxa" w:w="1872"/>
          </w:tcPr>
          <w:p>
            <w:r>
              <w:rPr>
                <w:rFonts w:ascii="Arial" w:hAnsi="Arial"/>
                <w:sz w:val="18"/>
              </w:rPr>
              <w:t>Qwen3-14B</w:t>
            </w:r>
          </w:p>
        </w:tc>
        <w:tc>
          <w:tcPr>
            <w:tcW w:type="dxa" w:w="1872"/>
          </w:tcPr>
          <w:p>
            <w:r>
              <w:rPr>
                <w:rFonts w:ascii="Arial" w:hAnsi="Arial"/>
                <w:sz w:val="18"/>
              </w:rPr>
              <w:t>14B</w:t>
            </w:r>
          </w:p>
        </w:tc>
        <w:tc>
          <w:tcPr>
            <w:tcW w:type="dxa" w:w="1872"/>
          </w:tcPr>
          <w:p>
            <w:r>
              <w:rPr>
                <w:rFonts w:ascii="Arial" w:hAnsi="Arial"/>
                <w:sz w:val="18"/>
              </w:rPr>
              <w:t>LoRA</w:t>
            </w:r>
          </w:p>
        </w:tc>
        <w:tc>
          <w:tcPr>
            <w:tcW w:type="dxa" w:w="1872"/>
          </w:tcPr>
          <w:p>
            <w:r>
              <w:rPr>
                <w:rFonts w:ascii="Arial" w:hAnsi="Arial"/>
                <w:sz w:val="18"/>
              </w:rPr>
              <w:t>High throughput, low latency, rule matching</w:t>
            </w:r>
          </w:p>
        </w:tc>
      </w:tr>
      <w:tr>
        <w:tc>
          <w:tcPr>
            <w:tcW w:type="dxa" w:w="1872"/>
          </w:tcPr>
          <w:p>
            <w:r>
              <w:rPr>
                <w:rFonts w:ascii="Arial" w:hAnsi="Arial"/>
                <w:sz w:val="18"/>
              </w:rPr>
              <w:t>Risk Early Warning</w:t>
            </w:r>
          </w:p>
        </w:tc>
        <w:tc>
          <w:tcPr>
            <w:tcW w:type="dxa" w:w="1872"/>
          </w:tcPr>
          <w:p>
            <w:r>
              <w:rPr>
                <w:rFonts w:ascii="Arial" w:hAnsi="Arial"/>
                <w:sz w:val="18"/>
              </w:rPr>
              <w:t>Qwen3-32B</w:t>
            </w:r>
          </w:p>
        </w:tc>
        <w:tc>
          <w:tcPr>
            <w:tcW w:type="dxa" w:w="1872"/>
          </w:tcPr>
          <w:p>
            <w:r>
              <w:rPr>
                <w:rFonts w:ascii="Arial" w:hAnsi="Arial"/>
                <w:sz w:val="18"/>
              </w:rPr>
              <w:t>32B</w:t>
            </w:r>
          </w:p>
        </w:tc>
        <w:tc>
          <w:tcPr>
            <w:tcW w:type="dxa" w:w="1872"/>
          </w:tcPr>
          <w:p>
            <w:r>
              <w:rPr>
                <w:rFonts w:ascii="Arial" w:hAnsi="Arial"/>
                <w:sz w:val="18"/>
              </w:rPr>
              <w:t>QLoRA</w:t>
            </w:r>
          </w:p>
        </w:tc>
        <w:tc>
          <w:tcPr>
            <w:tcW w:type="dxa" w:w="1872"/>
          </w:tcPr>
          <w:p>
            <w:r>
              <w:rPr>
                <w:rFonts w:ascii="Arial" w:hAnsi="Arial"/>
                <w:sz w:val="18"/>
              </w:rPr>
              <w:t>Multi-source data fusion, anomaly detection</w:t>
            </w:r>
          </w:p>
        </w:tc>
      </w:tr>
      <w:tr>
        <w:tc>
          <w:tcPr>
            <w:tcW w:type="dxa" w:w="1872"/>
          </w:tcPr>
          <w:p>
            <w:r>
              <w:rPr>
                <w:rFonts w:ascii="Arial" w:hAnsi="Arial"/>
                <w:sz w:val="18"/>
              </w:rPr>
              <w:t>Policy Simulation</w:t>
            </w:r>
          </w:p>
        </w:tc>
        <w:tc>
          <w:tcPr>
            <w:tcW w:type="dxa" w:w="1872"/>
          </w:tcPr>
          <w:p>
            <w:r>
              <w:rPr>
                <w:rFonts w:ascii="Arial" w:hAnsi="Arial"/>
                <w:sz w:val="18"/>
              </w:rPr>
              <w:t>DeepSeek-R1</w:t>
            </w:r>
          </w:p>
        </w:tc>
        <w:tc>
          <w:tcPr>
            <w:tcW w:type="dxa" w:w="1872"/>
          </w:tcPr>
          <w:p>
            <w:r>
              <w:rPr>
                <w:rFonts w:ascii="Arial" w:hAnsi="Arial"/>
                <w:sz w:val="18"/>
              </w:rPr>
              <w:t>660B (MoE)</w:t>
            </w:r>
          </w:p>
        </w:tc>
        <w:tc>
          <w:tcPr>
            <w:tcW w:type="dxa" w:w="1872"/>
          </w:tcPr>
          <w:p>
            <w:r>
              <w:rPr>
                <w:rFonts w:ascii="Arial" w:hAnsi="Arial"/>
                <w:sz w:val="18"/>
              </w:rPr>
              <w:t>SFT</w:t>
            </w:r>
          </w:p>
        </w:tc>
        <w:tc>
          <w:tcPr>
            <w:tcW w:type="dxa" w:w="1872"/>
          </w:tcPr>
          <w:p>
            <w:r>
              <w:rPr>
                <w:rFonts w:ascii="Arial" w:hAnsi="Arial"/>
                <w:sz w:val="18"/>
              </w:rPr>
              <w:t>Complex causal reasoning, multi-dimensional simulation</w:t>
            </w:r>
          </w:p>
        </w:tc>
      </w:tr>
      <w:tr>
        <w:tc>
          <w:tcPr>
            <w:tcW w:type="dxa" w:w="1872"/>
          </w:tcPr>
          <w:p>
            <w:r>
              <w:rPr>
                <w:rFonts w:ascii="Arial" w:hAnsi="Arial"/>
                <w:sz w:val="18"/>
              </w:rPr>
              <w:t>Urban Planning</w:t>
            </w:r>
          </w:p>
        </w:tc>
        <w:tc>
          <w:tcPr>
            <w:tcW w:type="dxa" w:w="1872"/>
          </w:tcPr>
          <w:p>
            <w:r>
              <w:rPr>
                <w:rFonts w:ascii="Arial" w:hAnsi="Arial"/>
                <w:sz w:val="18"/>
              </w:rPr>
              <w:t>Qwen3-32B</w:t>
            </w:r>
          </w:p>
        </w:tc>
        <w:tc>
          <w:tcPr>
            <w:tcW w:type="dxa" w:w="1872"/>
          </w:tcPr>
          <w:p>
            <w:r>
              <w:rPr>
                <w:rFonts w:ascii="Arial" w:hAnsi="Arial"/>
                <w:sz w:val="18"/>
              </w:rPr>
              <w:t>32B</w:t>
            </w:r>
          </w:p>
        </w:tc>
        <w:tc>
          <w:tcPr>
            <w:tcW w:type="dxa" w:w="1872"/>
          </w:tcPr>
          <w:p>
            <w:r>
              <w:rPr>
                <w:rFonts w:ascii="Arial" w:hAnsi="Arial"/>
                <w:sz w:val="18"/>
              </w:rPr>
              <w:t>QLoRA</w:t>
            </w:r>
          </w:p>
        </w:tc>
        <w:tc>
          <w:tcPr>
            <w:tcW w:type="dxa" w:w="1872"/>
          </w:tcPr>
          <w:p>
            <w:r>
              <w:rPr>
                <w:rFonts w:ascii="Arial" w:hAnsi="Arial"/>
                <w:sz w:val="18"/>
              </w:rPr>
              <w:t>Spatial optimization, multi-objective tradeoffs</w:t>
            </w:r>
          </w:p>
        </w:tc>
      </w:tr>
      <w:tr>
        <w:tc>
          <w:tcPr>
            <w:tcW w:type="dxa" w:w="1872"/>
          </w:tcPr>
          <w:p>
            <w:r>
              <w:rPr>
                <w:rFonts w:ascii="Arial" w:hAnsi="Arial"/>
                <w:sz w:val="18"/>
              </w:rPr>
              <w:t>Economic Regulation</w:t>
            </w:r>
          </w:p>
        </w:tc>
        <w:tc>
          <w:tcPr>
            <w:tcW w:type="dxa" w:w="1872"/>
          </w:tcPr>
          <w:p>
            <w:r>
              <w:rPr>
                <w:rFonts w:ascii="Arial" w:hAnsi="Arial"/>
                <w:sz w:val="18"/>
              </w:rPr>
              <w:t>Qwen3-72B</w:t>
            </w:r>
          </w:p>
        </w:tc>
        <w:tc>
          <w:tcPr>
            <w:tcW w:type="dxa" w:w="1872"/>
          </w:tcPr>
          <w:p>
            <w:r>
              <w:rPr>
                <w:rFonts w:ascii="Arial" w:hAnsi="Arial"/>
                <w:sz w:val="18"/>
              </w:rPr>
              <w:t>72B</w:t>
            </w:r>
          </w:p>
        </w:tc>
        <w:tc>
          <w:tcPr>
            <w:tcW w:type="dxa" w:w="1872"/>
          </w:tcPr>
          <w:p>
            <w:r>
              <w:rPr>
                <w:rFonts w:ascii="Arial" w:hAnsi="Arial"/>
                <w:sz w:val="18"/>
              </w:rPr>
              <w:t>QLoRA</w:t>
            </w:r>
          </w:p>
        </w:tc>
        <w:tc>
          <w:tcPr>
            <w:tcW w:type="dxa" w:w="1872"/>
          </w:tcPr>
          <w:p>
            <w:r>
              <w:rPr>
                <w:rFonts w:ascii="Arial" w:hAnsi="Arial"/>
                <w:sz w:val="18"/>
              </w:rPr>
              <w:t>Economic model reasoning, parameter sensitivity analysis</w:t>
            </w:r>
          </w:p>
        </w:tc>
      </w:tr>
      <w:tr>
        <w:tc>
          <w:tcPr>
            <w:tcW w:type="dxa" w:w="1872"/>
          </w:tcPr>
          <w:p>
            <w:r>
              <w:rPr>
                <w:rFonts w:ascii="Arial" w:hAnsi="Arial"/>
                <w:sz w:val="18"/>
              </w:rPr>
              <w:t>Identity and Rights</w:t>
            </w:r>
          </w:p>
        </w:tc>
        <w:tc>
          <w:tcPr>
            <w:tcW w:type="dxa" w:w="1872"/>
          </w:tcPr>
          <w:p>
            <w:r>
              <w:rPr>
                <w:rFonts w:ascii="Arial" w:hAnsi="Arial"/>
                <w:sz w:val="18"/>
              </w:rPr>
              <w:t>Qwen3-14B</w:t>
            </w:r>
          </w:p>
        </w:tc>
        <w:tc>
          <w:tcPr>
            <w:tcW w:type="dxa" w:w="1872"/>
          </w:tcPr>
          <w:p>
            <w:r>
              <w:rPr>
                <w:rFonts w:ascii="Arial" w:hAnsi="Arial"/>
                <w:sz w:val="18"/>
              </w:rPr>
              <w:t>14B</w:t>
            </w:r>
          </w:p>
        </w:tc>
        <w:tc>
          <w:tcPr>
            <w:tcW w:type="dxa" w:w="1872"/>
          </w:tcPr>
          <w:p>
            <w:r>
              <w:rPr>
                <w:rFonts w:ascii="Arial" w:hAnsi="Arial"/>
                <w:sz w:val="18"/>
              </w:rPr>
              <w:t>LoRA</w:t>
            </w:r>
          </w:p>
        </w:tc>
        <w:tc>
          <w:tcPr>
            <w:tcW w:type="dxa" w:w="1872"/>
          </w:tcPr>
          <w:p>
            <w:r>
              <w:rPr>
                <w:rFonts w:ascii="Arial" w:hAnsi="Arial"/>
                <w:sz w:val="18"/>
              </w:rPr>
              <w:t>Privacy protection, Zero-Knowledge Proof integration</w:t>
            </w:r>
          </w:p>
        </w:tc>
      </w:tr>
    </w:tbl>
    <w:p>
      <w:r>
        <w:rPr>
          <w:rFonts w:ascii="Arial" w:hAnsi="Arial"/>
          <w:b/>
          <w:sz w:val="22"/>
        </w:rPr>
        <w:t>2.4 Three-Layer Model Architecture</w:t>
      </w:r>
    </w:p>
    <w:p>
      <w:r>
        <w:rPr>
          <w:rFonts w:ascii="Arial" w:hAnsi="Arial"/>
          <w:b/>
          <w:sz w:val="22"/>
        </w:rPr>
        <w:t>Three-Tier Model System</w:t>
      </w:r>
    </w:p>
    <w:tbl>
      <w:tblPr>
        <w:tblStyle w:val="LightShading-Accent1"/>
        <w:tblW w:type="auto" w:w="0"/>
        <w:tblLook w:firstColumn="1" w:firstRow="1" w:lastColumn="0" w:lastRow="0" w:noHBand="0" w:noVBand="1" w:val="04A0"/>
      </w:tblPr>
      <w:tblGrid>
        <w:gridCol w:w="3120"/>
        <w:gridCol w:w="3120"/>
        <w:gridCol w:w="3120"/>
      </w:tblGrid>
      <w:tr>
        <w:tc>
          <w:tcPr>
            <w:tcW w:type="dxa" w:w="3120"/>
          </w:tcPr>
          <w:p>
            <w:r>
              <w:rPr>
                <w:rFonts w:ascii="Arial" w:hAnsi="Arial"/>
                <w:b/>
                <w:sz w:val="18"/>
              </w:rPr>
              <w:t>Core Reasoning Layer</w:t>
            </w:r>
          </w:p>
        </w:tc>
        <w:tc>
          <w:tcPr>
            <w:tcW w:type="dxa" w:w="3120"/>
          </w:tcPr>
          <w:p>
            <w:r>
              <w:rPr>
                <w:rFonts w:ascii="Arial" w:hAnsi="Arial"/>
                <w:b/>
                <w:sz w:val="18"/>
              </w:rPr>
              <w:t>Business Execution Layer</w:t>
            </w:r>
          </w:p>
        </w:tc>
        <w:tc>
          <w:tcPr>
            <w:tcW w:type="dxa" w:w="3120"/>
          </w:tcPr>
          <w:p>
            <w:r>
              <w:rPr>
                <w:rFonts w:ascii="Arial" w:hAnsi="Arial"/>
                <w:b/>
                <w:sz w:val="18"/>
              </w:rPr>
              <w:t>Edge Service Layer</w:t>
            </w:r>
          </w:p>
        </w:tc>
      </w:tr>
      <w:tr>
        <w:tc>
          <w:tcPr>
            <w:tcW w:type="dxa" w:w="3120"/>
          </w:tcPr>
          <w:p>
            <w:r>
              <w:rPr>
                <w:rFonts w:ascii="Arial" w:hAnsi="Arial"/>
                <w:sz w:val="18"/>
              </w:rPr>
              <w:t>Qwen3-72B / DeepSeek-R1</w:t>
            </w:r>
          </w:p>
        </w:tc>
        <w:tc>
          <w:tcPr>
            <w:tcW w:type="dxa" w:w="3120"/>
          </w:tcPr>
          <w:p>
            <w:r>
              <w:rPr>
                <w:rFonts w:ascii="Arial" w:hAnsi="Arial"/>
                <w:sz w:val="18"/>
              </w:rPr>
              <w:t>Qwen3-14B / 32B</w:t>
            </w:r>
          </w:p>
        </w:tc>
        <w:tc>
          <w:tcPr>
            <w:tcW w:type="dxa" w:w="3120"/>
          </w:tcPr>
          <w:p>
            <w:r>
              <w:rPr>
                <w:rFonts w:ascii="Arial" w:hAnsi="Arial"/>
                <w:sz w:val="18"/>
              </w:rPr>
              <w:t>Qwen3-7B / Quantized variants</w:t>
            </w:r>
          </w:p>
        </w:tc>
      </w:tr>
      <w:tr>
        <w:tc>
          <w:tcPr>
            <w:tcW w:type="dxa" w:w="3120"/>
          </w:tcPr>
          <w:p>
            <w:r>
              <w:rPr>
                <w:rFonts w:ascii="Arial" w:hAnsi="Arial"/>
                <w:sz w:val="18"/>
              </w:rPr>
              <w:t>Complex decision-making</w:t>
            </w:r>
          </w:p>
        </w:tc>
        <w:tc>
          <w:tcPr>
            <w:tcW w:type="dxa" w:w="3120"/>
          </w:tcPr>
          <w:p>
            <w:r>
              <w:rPr>
                <w:rFonts w:ascii="Arial" w:hAnsi="Arial"/>
                <w:sz w:val="18"/>
              </w:rPr>
              <w:t>Routine approvals, daily operations</w:t>
            </w:r>
          </w:p>
        </w:tc>
        <w:tc>
          <w:tcPr>
            <w:tcW w:type="dxa" w:w="3120"/>
          </w:tcPr>
          <w:p>
            <w:r>
              <w:rPr>
                <w:rFonts w:ascii="Arial" w:hAnsi="Arial"/>
                <w:sz w:val="18"/>
              </w:rPr>
              <w:t>Terminal interactions</w:t>
            </w:r>
          </w:p>
        </w:tc>
      </w:tr>
      <w:tr>
        <w:tc>
          <w:tcPr>
            <w:tcW w:type="dxa" w:w="3120"/>
          </w:tcPr>
          <w:p>
            <w:r>
              <w:rPr>
                <w:rFonts w:ascii="Arial" w:hAnsi="Arial"/>
                <w:sz w:val="18"/>
              </w:rPr>
              <w:t>Judicial reasoning, policy simulation</w:t>
            </w:r>
          </w:p>
        </w:tc>
        <w:tc>
          <w:tcPr>
            <w:tcW w:type="dxa" w:w="3120"/>
          </w:tcPr>
          <w:p>
            <w:r>
              <w:rPr>
                <w:rFonts w:ascii="Arial" w:hAnsi="Arial"/>
                <w:sz w:val="18"/>
              </w:rPr>
              <w:t>Data queries</w:t>
            </w:r>
          </w:p>
        </w:tc>
        <w:tc>
          <w:tcPr>
            <w:tcW w:type="dxa" w:w="3120"/>
          </w:tcPr>
          <w:p>
            <w:r>
              <w:rPr>
                <w:rFonts w:ascii="Arial" w:hAnsi="Arial"/>
                <w:sz w:val="18"/>
              </w:rPr>
              <w:t>Identity verification, simple queries</w:t>
            </w:r>
          </w:p>
        </w:tc>
      </w:tr>
      <w:tr>
        <w:tc>
          <w:tcPr>
            <w:tcW w:type="dxa" w:w="3120"/>
          </w:tcPr>
          <w:p>
            <w:r>
              <w:rPr>
                <w:rFonts w:ascii="Arial" w:hAnsi="Arial"/>
                <w:sz w:val="18"/>
              </w:rPr>
              <w:t>Deployment: Multi-machine distributed inference</w:t>
            </w:r>
          </w:p>
        </w:tc>
        <w:tc>
          <w:tcPr>
            <w:tcW w:type="dxa" w:w="3120"/>
          </w:tcPr>
          <w:p>
            <w:r>
              <w:rPr>
                <w:rFonts w:ascii="Arial" w:hAnsi="Arial"/>
                <w:sz w:val="18"/>
              </w:rPr>
              <w:t>Deployment: Single-machine multi-GPU</w:t>
            </w:r>
          </w:p>
        </w:tc>
        <w:tc>
          <w:tcPr>
            <w:tcW w:type="dxa" w:w="3120"/>
          </w:tcPr>
          <w:p>
            <w:r>
              <w:rPr>
                <w:rFonts w:ascii="Arial" w:hAnsi="Arial"/>
                <w:sz w:val="18"/>
              </w:rPr>
              <w:t>Deployment: Edge nodes / On-device</w:t>
            </w:r>
          </w:p>
        </w:tc>
      </w:tr>
      <w:tr>
        <w:tc>
          <w:tcPr>
            <w:tcW w:type="dxa" w:w="3120"/>
          </w:tcPr>
          <w:p>
            <w:r>
              <w:rPr>
                <w:rFonts w:ascii="Arial" w:hAnsi="Arial"/>
                <w:sz w:val="18"/>
              </w:rPr>
              <w:t>Latency requirement: &lt;30 seconds</w:t>
            </w:r>
          </w:p>
        </w:tc>
        <w:tc>
          <w:tcPr>
            <w:tcW w:type="dxa" w:w="3120"/>
          </w:tcPr>
          <w:p>
            <w:r>
              <w:rPr>
                <w:rFonts w:ascii="Arial" w:hAnsi="Arial"/>
                <w:sz w:val="18"/>
              </w:rPr>
              <w:t>Latency requirement: &lt;3 seconds</w:t>
            </w:r>
          </w:p>
        </w:tc>
        <w:tc>
          <w:tcPr>
            <w:tcW w:type="dxa" w:w="3120"/>
          </w:tcPr>
          <w:p>
            <w:r>
              <w:rPr>
                <w:rFonts w:ascii="Arial" w:hAnsi="Arial"/>
                <w:sz w:val="18"/>
              </w:rPr>
              <w:t>Latency requirement: &lt;500ms</w:t>
            </w:r>
          </w:p>
        </w:tc>
      </w:tr>
    </w:tbl>
    <w:p>
      <w:r>
        <w:rPr>
          <w:rFonts w:ascii="Arial" w:hAnsi="Arial"/>
          <w:b/>
          <w:sz w:val="22"/>
        </w:rPr>
        <w:t>2.5 Model Version Management Strategy</w:t>
      </w:r>
    </w:p>
    <w:p>
      <w:pPr>
        <w:pStyle w:val="ListBullet"/>
      </w:pPr>
      <w:r>
        <w:rPr>
          <w:rFonts w:ascii="Arial" w:hAnsi="Arial"/>
          <w:b/>
          <w:sz w:val="22"/>
        </w:rPr>
        <w:t>Freeze Policy</w:t>
      </w:r>
      <w:r>
        <w:rPr>
          <w:rFonts w:ascii="Arial" w:hAnsi="Arial"/>
          <w:sz w:val="22"/>
        </w:rPr>
        <w:t>: Core governance model versions are frozen; no continuous learning during runtime. Model updates require complete security audits and Elder Council approval</w:t>
      </w:r>
    </w:p>
    <w:p>
      <w:pPr>
        <w:pStyle w:val="ListBullet"/>
      </w:pPr>
      <w:r>
        <w:rPr>
          <w:rFonts w:ascii="Arial" w:hAnsi="Arial"/>
          <w:b/>
          <w:sz w:val="22"/>
        </w:rPr>
        <w:t>Version Numbering Rules</w:t>
      </w:r>
      <w:r>
        <w:rPr>
          <w:rFonts w:ascii="Arial" w:hAnsi="Arial"/>
          <w:sz w:val="22"/>
        </w:rPr>
        <w:t>: Semantic versioning MAJOR.MINOR.PATCH is adopted; major version upgrades require Popular Vote</w:t>
      </w:r>
    </w:p>
    <w:p>
      <w:pPr>
        <w:pStyle w:val="ListBullet"/>
      </w:pPr>
      <w:r>
        <w:rPr>
          <w:rFonts w:ascii="Arial" w:hAnsi="Arial"/>
          <w:b/>
          <w:sz w:val="22"/>
        </w:rPr>
        <w:t>Rollback Mechanism</w:t>
      </w:r>
      <w:r>
        <w:rPr>
          <w:rFonts w:ascii="Arial" w:hAnsi="Arial"/>
          <w:sz w:val="22"/>
        </w:rPr>
        <w:t>: The last 3 stable versions are retained; emergency rollback available within 72 hours upon issue detection</w:t>
      </w:r>
    </w:p>
    <w:p>
      <w:pPr>
        <w:pStyle w:val="ListBullet"/>
      </w:pPr>
      <w:r>
        <w:rPr>
          <w:rFonts w:ascii="Arial" w:hAnsi="Arial"/>
          <w:b/>
          <w:sz w:val="22"/>
        </w:rPr>
        <w:t>Gradual Release</w:t>
      </w:r>
      <w:r>
        <w:rPr>
          <w:rFonts w:ascii="Arial" w:hAnsi="Arial"/>
          <w:sz w:val="22"/>
        </w:rPr>
        <w:t>: New versions run on 5% of traffic first; full deployment after two weeks of observation with no anomalies</w:t>
      </w:r>
    </w:p>
    <w:p>
      <w:pPr>
        <w:pStyle w:val="ListBullet"/>
      </w:pPr>
      <w:r>
        <w:rPr>
          <w:rFonts w:ascii="Arial" w:hAnsi="Arial"/>
          <w:b/>
          <w:sz w:val="22"/>
        </w:rPr>
        <w:t>Multi-Version Parallel</w:t>
      </w:r>
      <w:r>
        <w:rPr>
          <w:rFonts w:ascii="Arial" w:hAnsi="Arial"/>
          <w:sz w:val="22"/>
        </w:rPr>
        <w:t>: For high-risk decision scenarios, at least two independent versions run parallel inference; inconsistencies trigger human review</w:t>
      </w:r>
    </w:p>
    <w:p>
      <w:r>
        <w:rPr>
          <w:rFonts w:ascii="Arial" w:hAnsi="Arial"/>
          <w:b/>
          <w:sz w:val="22"/>
        </w:rPr>
        <w:t>Three. Training and Fine-tuning Scheme</w:t>
      </w:r>
    </w:p>
    <w:p>
      <w:r>
        <w:rPr>
          <w:rFonts w:ascii="Arial" w:hAnsi="Arial"/>
          <w:sz w:val="22"/>
        </w:rPr>
        <w:t>Full-process training system from pretraining to alignment</w:t>
      </w:r>
    </w:p>
    <w:p>
      <w:r>
        <w:rPr>
          <w:rFonts w:ascii="Arial" w:hAnsi="Arial"/>
          <w:b/>
          <w:sz w:val="22"/>
        </w:rPr>
        <w:t>3.1 Overall Training Pipeline</w:t>
      </w:r>
    </w:p>
    <w:tbl>
      <w:tblPr>
        <w:tblStyle w:val="LightShading-Accent1"/>
        <w:tblW w:type="auto" w:w="0"/>
        <w:tblLook w:firstColumn="1" w:firstRow="1" w:lastColumn="0" w:lastRow="0" w:noHBand="0" w:noVBand="1" w:val="04A0"/>
      </w:tblPr>
      <w:tblGrid>
        <w:gridCol w:w="9360"/>
      </w:tblGrid>
      <w:tr>
        <w:tc>
          <w:tcPr>
            <w:tcW w:type="dxa" w:w="9360"/>
          </w:tcPr>
          <w:p>
            <w:r>
              <w:rPr>
                <w:rFonts w:ascii="Arial" w:hAnsi="Arial"/>
                <w:b/>
                <w:sz w:val="18"/>
              </w:rPr>
              <w:t>Four-Stage Training Pipeline: Base Model Selection → Domain Supervised Fine-tuning (SFT) → Constitutional Alignment (Constitutional AI + DPO) → Security Audit and Release</w:t>
            </w:r>
          </w:p>
        </w:tc>
      </w:tr>
    </w:tbl>
    <w:p>
      <w:r>
        <w:rPr>
          <w:rFonts w:ascii="Arial" w:hAnsi="Arial"/>
          <w:b/>
          <w:sz w:val="22"/>
        </w:rPr>
        <w:t>Training Flow Diagram</w:t>
      </w:r>
    </w:p>
    <w:p>
      <w:pPr>
        <w:pStyle w:val="ListNumber"/>
      </w:pPr>
      <w:r>
        <w:rPr>
          <w:rFonts w:ascii="Arial" w:hAnsi="Arial"/>
          <w:b/>
          <w:sz w:val="22"/>
        </w:rPr>
        <w:t>Base Model Selection</w:t>
      </w:r>
      <w:r>
        <w:rPr>
          <w:rFonts w:ascii="Arial" w:hAnsi="Arial"/>
          <w:sz w:val="22"/>
        </w:rPr>
        <w:t>: Select Qwen3-72B as the foundation model, possessing strong reasoning capabilities and open-source friendly license</w:t>
      </w:r>
    </w:p>
    <w:p>
      <w:pPr>
        <w:pStyle w:val="ListNumber"/>
      </w:pPr>
      <w:r>
        <w:rPr>
          <w:rFonts w:ascii="Arial" w:hAnsi="Arial"/>
          <w:b/>
          <w:sz w:val="22"/>
        </w:rPr>
        <w:t>Domain Knowledge Injection (SFT)</w:t>
      </w:r>
      <w:r>
        <w:rPr>
          <w:rFonts w:ascii="Arial" w:hAnsi="Arial"/>
          <w:sz w:val="22"/>
        </w:rPr>
        <w:t>: Inject domain expertise in law, finance, and governance through supervised fine-tuning</w:t>
      </w:r>
    </w:p>
    <w:p>
      <w:pPr>
        <w:pStyle w:val="ListNumber"/>
      </w:pPr>
      <w:r>
        <w:rPr>
          <w:rFonts w:ascii="Arial" w:hAnsi="Arial"/>
          <w:b/>
          <w:sz w:val="22"/>
        </w:rPr>
        <w:t>Value Alignment (DPO)</w:t>
      </w:r>
      <w:r>
        <w:rPr>
          <w:rFonts w:ascii="Arial" w:hAnsi="Arial"/>
          <w:sz w:val="22"/>
        </w:rPr>
        <w:t>: Conduct preference optimization based on founding constitutional principles to ensure behavior meets governance requirements</w:t>
      </w:r>
    </w:p>
    <w:p>
      <w:pPr>
        <w:pStyle w:val="ListNumber"/>
      </w:pPr>
      <w:r>
        <w:rPr>
          <w:rFonts w:ascii="Arial" w:hAnsi="Arial"/>
          <w:b/>
          <w:sz w:val="22"/>
        </w:rPr>
        <w:t>Constitutional Self-Alignment (CAI)</w:t>
      </w:r>
      <w:r>
        <w:rPr>
          <w:rFonts w:ascii="Arial" w:hAnsi="Arial"/>
          <w:sz w:val="22"/>
        </w:rPr>
        <w:t>: Use Constitutional AI techniques for self-critique and correction to strengthen alignment</w:t>
      </w:r>
    </w:p>
    <w:p>
      <w:pPr>
        <w:pStyle w:val="ListNumber"/>
      </w:pPr>
      <w:r>
        <w:rPr>
          <w:rFonts w:ascii="Arial" w:hAnsi="Arial"/>
          <w:b/>
          <w:sz w:val="22"/>
        </w:rPr>
        <w:t>Security Red Team Testing</w:t>
      </w:r>
      <w:r>
        <w:rPr>
          <w:rFonts w:ascii="Arial" w:hAnsi="Arial"/>
          <w:sz w:val="22"/>
        </w:rPr>
        <w:t>: Multi-dimensional security testing to discover and remediate vulnerabilities</w:t>
      </w:r>
    </w:p>
    <w:p>
      <w:pPr>
        <w:pStyle w:val="ListNumber"/>
      </w:pPr>
      <w:r>
        <w:rPr>
          <w:rFonts w:ascii="Arial" w:hAnsi="Arial"/>
          <w:b/>
          <w:sz w:val="22"/>
        </w:rPr>
        <w:t>Audit and Release</w:t>
      </w:r>
      <w:r>
        <w:rPr>
          <w:rFonts w:ascii="Arial" w:hAnsi="Arial"/>
          <w:sz w:val="22"/>
        </w:rPr>
        <w:t>: After passing independent third-party audit, freeze the version and release</w:t>
      </w:r>
    </w:p>
    <w:p>
      <w:r>
        <w:rPr>
          <w:rFonts w:ascii="Arial" w:hAnsi="Arial"/>
          <w:b/>
          <w:sz w:val="22"/>
        </w:rPr>
        <w:t>3.2 Supervised Fine-tuning (SFT) Scheme</w:t>
      </w:r>
    </w:p>
    <w:p>
      <w:r>
        <w:rPr>
          <w:rFonts w:ascii="Arial" w:hAnsi="Arial"/>
          <w:b/>
          <w:sz w:val="22"/>
        </w:rPr>
        <w:t>3.2.1 Data Engineering</w:t>
      </w:r>
    </w:p>
    <w:p>
      <w:r>
        <w:rPr>
          <w:rFonts w:ascii="Arial" w:hAnsi="Arial"/>
          <w:b/>
          <w:sz w:val="22"/>
        </w:rPr>
        <w:t>Training Data Composition</w:t>
      </w:r>
    </w:p>
    <w:tbl>
      <w:tblPr>
        <w:tblStyle w:val="LightShading-Accent1"/>
        <w:tblW w:type="auto" w:w="0"/>
        <w:tblLook w:firstColumn="1" w:firstRow="1" w:lastColumn="0" w:lastRow="0" w:noHBand="0" w:noVBand="1" w:val="04A0"/>
      </w:tblPr>
      <w:tblGrid>
        <w:gridCol w:w="2340"/>
        <w:gridCol w:w="2340"/>
        <w:gridCol w:w="2340"/>
        <w:gridCol w:w="2340"/>
      </w:tblGrid>
      <w:tr>
        <w:tc>
          <w:tcPr>
            <w:tcW w:type="dxa" w:w="2340"/>
          </w:tcPr>
          <w:p>
            <w:r>
              <w:rPr>
                <w:rFonts w:ascii="Arial" w:hAnsi="Arial"/>
                <w:b/>
                <w:sz w:val="18"/>
              </w:rPr>
              <w:t>Data Category</w:t>
            </w:r>
          </w:p>
        </w:tc>
        <w:tc>
          <w:tcPr>
            <w:tcW w:type="dxa" w:w="2340"/>
          </w:tcPr>
          <w:p>
            <w:r>
              <w:rPr>
                <w:rFonts w:ascii="Arial" w:hAnsi="Arial"/>
                <w:b/>
                <w:sz w:val="18"/>
              </w:rPr>
              <w:t>Volume</w:t>
            </w:r>
          </w:p>
        </w:tc>
        <w:tc>
          <w:tcPr>
            <w:tcW w:type="dxa" w:w="2340"/>
          </w:tcPr>
          <w:p>
            <w:r>
              <w:rPr>
                <w:rFonts w:ascii="Arial" w:hAnsi="Arial"/>
                <w:b/>
                <w:sz w:val="18"/>
              </w:rPr>
              <w:t>Percentage</w:t>
            </w:r>
          </w:p>
        </w:tc>
        <w:tc>
          <w:tcPr>
            <w:tcW w:type="dxa" w:w="2340"/>
          </w:tcPr>
          <w:p>
            <w:r>
              <w:rPr>
                <w:rFonts w:ascii="Arial" w:hAnsi="Arial"/>
                <w:b/>
                <w:sz w:val="18"/>
              </w:rPr>
              <w:t>Content Description</w:t>
            </w:r>
          </w:p>
        </w:tc>
      </w:tr>
      <w:tr>
        <w:tc>
          <w:tcPr>
            <w:tcW w:type="dxa" w:w="2340"/>
          </w:tcPr>
          <w:p>
            <w:r>
              <w:rPr>
                <w:rFonts w:ascii="Arial" w:hAnsi="Arial"/>
                <w:sz w:val="18"/>
              </w:rPr>
              <w:t>Legal Regulations</w:t>
            </w:r>
          </w:p>
        </w:tc>
        <w:tc>
          <w:tcPr>
            <w:tcW w:type="dxa" w:w="2340"/>
          </w:tcPr>
          <w:p>
            <w:r>
              <w:rPr>
                <w:rFonts w:ascii="Arial" w:hAnsi="Arial"/>
                <w:sz w:val="18"/>
              </w:rPr>
              <w:t>500K entries</w:t>
            </w:r>
          </w:p>
        </w:tc>
        <w:tc>
          <w:tcPr>
            <w:tcW w:type="dxa" w:w="2340"/>
          </w:tcPr>
          <w:p>
            <w:r>
              <w:rPr>
                <w:rFonts w:ascii="Arial" w:hAnsi="Arial"/>
                <w:sz w:val="18"/>
              </w:rPr>
              <w:t>25%</w:t>
            </w:r>
          </w:p>
        </w:tc>
        <w:tc>
          <w:tcPr>
            <w:tcW w:type="dxa" w:w="2340"/>
          </w:tcPr>
          <w:p>
            <w:r>
              <w:rPr>
                <w:rFonts w:ascii="Arial" w:hAnsi="Arial"/>
                <w:sz w:val="18"/>
              </w:rPr>
              <w:t>Constitution, Civil Code, Criminal Law, Administrative Regulations, Judicial Interpretations, Precedents</w:t>
            </w:r>
          </w:p>
        </w:tc>
      </w:tr>
      <w:tr>
        <w:tc>
          <w:tcPr>
            <w:tcW w:type="dxa" w:w="2340"/>
          </w:tcPr>
          <w:p>
            <w:r>
              <w:rPr>
                <w:rFonts w:ascii="Arial" w:hAnsi="Arial"/>
                <w:sz w:val="18"/>
              </w:rPr>
              <w:t>Fiscal Economics</w:t>
            </w:r>
          </w:p>
        </w:tc>
        <w:tc>
          <w:tcPr>
            <w:tcW w:type="dxa" w:w="2340"/>
          </w:tcPr>
          <w:p>
            <w:r>
              <w:rPr>
                <w:rFonts w:ascii="Arial" w:hAnsi="Arial"/>
                <w:sz w:val="18"/>
              </w:rPr>
              <w:t>300K entries</w:t>
            </w:r>
          </w:p>
        </w:tc>
        <w:tc>
          <w:tcPr>
            <w:tcW w:type="dxa" w:w="2340"/>
          </w:tcPr>
          <w:p>
            <w:r>
              <w:rPr>
                <w:rFonts w:ascii="Arial" w:hAnsi="Arial"/>
                <w:sz w:val="18"/>
              </w:rPr>
              <w:t>15%</w:t>
            </w:r>
          </w:p>
        </w:tc>
        <w:tc>
          <w:tcPr>
            <w:tcW w:type="dxa" w:w="2340"/>
          </w:tcPr>
          <w:p>
            <w:r>
              <w:rPr>
                <w:rFonts w:ascii="Arial" w:hAnsi="Arial"/>
                <w:sz w:val="18"/>
              </w:rPr>
              <w:t>Budget preparation, accounting rules, economic models, tax policies</w:t>
            </w:r>
          </w:p>
        </w:tc>
      </w:tr>
      <w:tr>
        <w:tc>
          <w:tcPr>
            <w:tcW w:type="dxa" w:w="2340"/>
          </w:tcPr>
          <w:p>
            <w:r>
              <w:rPr>
                <w:rFonts w:ascii="Arial" w:hAnsi="Arial"/>
                <w:sz w:val="18"/>
              </w:rPr>
              <w:t>Governance Cases</w:t>
            </w:r>
          </w:p>
        </w:tc>
        <w:tc>
          <w:tcPr>
            <w:tcW w:type="dxa" w:w="2340"/>
          </w:tcPr>
          <w:p>
            <w:r>
              <w:rPr>
                <w:rFonts w:ascii="Arial" w:hAnsi="Arial"/>
                <w:sz w:val="18"/>
              </w:rPr>
              <w:t>400K entries</w:t>
            </w:r>
          </w:p>
        </w:tc>
        <w:tc>
          <w:tcPr>
            <w:tcW w:type="dxa" w:w="2340"/>
          </w:tcPr>
          <w:p>
            <w:r>
              <w:rPr>
                <w:rFonts w:ascii="Arial" w:hAnsi="Arial"/>
                <w:sz w:val="18"/>
              </w:rPr>
              <w:t>20%</w:t>
            </w:r>
          </w:p>
        </w:tc>
        <w:tc>
          <w:tcPr>
            <w:tcW w:type="dxa" w:w="2340"/>
          </w:tcPr>
          <w:p>
            <w:r>
              <w:rPr>
                <w:rFonts w:ascii="Arial" w:hAnsi="Arial"/>
                <w:sz w:val="18"/>
              </w:rPr>
              <w:t>Administrative approval cases, dispute mediation cases, policy evaluation cases</w:t>
            </w:r>
          </w:p>
        </w:tc>
      </w:tr>
      <w:tr>
        <w:tc>
          <w:tcPr>
            <w:tcW w:type="dxa" w:w="2340"/>
          </w:tcPr>
          <w:p>
            <w:r>
              <w:rPr>
                <w:rFonts w:ascii="Arial" w:hAnsi="Arial"/>
                <w:sz w:val="18"/>
              </w:rPr>
              <w:t>Ethical Guidelines</w:t>
            </w:r>
          </w:p>
        </w:tc>
        <w:tc>
          <w:tcPr>
            <w:tcW w:type="dxa" w:w="2340"/>
          </w:tcPr>
          <w:p>
            <w:r>
              <w:rPr>
                <w:rFonts w:ascii="Arial" w:hAnsi="Arial"/>
                <w:sz w:val="18"/>
              </w:rPr>
              <w:t>200K entries</w:t>
            </w:r>
          </w:p>
        </w:tc>
        <w:tc>
          <w:tcPr>
            <w:tcW w:type="dxa" w:w="2340"/>
          </w:tcPr>
          <w:p>
            <w:r>
              <w:rPr>
                <w:rFonts w:ascii="Arial" w:hAnsi="Arial"/>
                <w:sz w:val="18"/>
              </w:rPr>
              <w:t>10%</w:t>
            </w:r>
          </w:p>
        </w:tc>
        <w:tc>
          <w:tcPr>
            <w:tcW w:type="dxa" w:w="2340"/>
          </w:tcPr>
          <w:p>
            <w:r>
              <w:rPr>
                <w:rFonts w:ascii="Arial" w:hAnsi="Arial"/>
                <w:sz w:val="18"/>
              </w:rPr>
              <w:t>Human Rights Declaration, ethical principles, fairness standards, privacy protection norms</w:t>
            </w:r>
          </w:p>
        </w:tc>
      </w:tr>
      <w:tr>
        <w:tc>
          <w:tcPr>
            <w:tcW w:type="dxa" w:w="2340"/>
          </w:tcPr>
          <w:p>
            <w:r>
              <w:rPr>
                <w:rFonts w:ascii="Arial" w:hAnsi="Arial"/>
                <w:sz w:val="18"/>
              </w:rPr>
              <w:t>Reasoning Chain Samples</w:t>
            </w:r>
          </w:p>
        </w:tc>
        <w:tc>
          <w:tcPr>
            <w:tcW w:type="dxa" w:w="2340"/>
          </w:tcPr>
          <w:p>
            <w:r>
              <w:rPr>
                <w:rFonts w:ascii="Arial" w:hAnsi="Arial"/>
                <w:sz w:val="18"/>
              </w:rPr>
              <w:t>400K entries</w:t>
            </w:r>
          </w:p>
        </w:tc>
        <w:tc>
          <w:tcPr>
            <w:tcW w:type="dxa" w:w="2340"/>
          </w:tcPr>
          <w:p>
            <w:r>
              <w:rPr>
                <w:rFonts w:ascii="Arial" w:hAnsi="Arial"/>
                <w:sz w:val="18"/>
              </w:rPr>
              <w:t>20%</w:t>
            </w:r>
          </w:p>
        </w:tc>
        <w:tc>
          <w:tcPr>
            <w:tcW w:type="dxa" w:w="2340"/>
          </w:tcPr>
          <w:p>
            <w:r>
              <w:rPr>
                <w:rFonts w:ascii="Arial" w:hAnsi="Arial"/>
                <w:sz w:val="18"/>
              </w:rPr>
              <w:t>Decision reasoning samples with complete chain-of-thought</w:t>
            </w:r>
          </w:p>
        </w:tc>
      </w:tr>
      <w:tr>
        <w:tc>
          <w:tcPr>
            <w:tcW w:type="dxa" w:w="2340"/>
          </w:tcPr>
          <w:p>
            <w:r>
              <w:rPr>
                <w:rFonts w:ascii="Arial" w:hAnsi="Arial"/>
                <w:sz w:val="18"/>
              </w:rPr>
              <w:t>Multilingual Corpus</w:t>
            </w:r>
          </w:p>
        </w:tc>
        <w:tc>
          <w:tcPr>
            <w:tcW w:type="dxa" w:w="2340"/>
          </w:tcPr>
          <w:p>
            <w:r>
              <w:rPr>
                <w:rFonts w:ascii="Arial" w:hAnsi="Arial"/>
                <w:sz w:val="18"/>
              </w:rPr>
              <w:t>200K entries</w:t>
            </w:r>
          </w:p>
        </w:tc>
        <w:tc>
          <w:tcPr>
            <w:tcW w:type="dxa" w:w="2340"/>
          </w:tcPr>
          <w:p>
            <w:r>
              <w:rPr>
                <w:rFonts w:ascii="Arial" w:hAnsi="Arial"/>
                <w:sz w:val="18"/>
              </w:rPr>
              <w:t>10%</w:t>
            </w:r>
          </w:p>
        </w:tc>
        <w:tc>
          <w:tcPr>
            <w:tcW w:type="dxa" w:w="2340"/>
          </w:tcPr>
          <w:p>
            <w:r>
              <w:rPr>
                <w:rFonts w:ascii="Arial" w:hAnsi="Arial"/>
                <w:sz w:val="18"/>
              </w:rPr>
              <w:t>Chinese-English bilingual and other major language governance-related corpus</w:t>
            </w:r>
          </w:p>
        </w:tc>
      </w:tr>
    </w:tbl>
    <w:p>
      <w:r>
        <w:rPr>
          <w:rFonts w:ascii="Arial" w:hAnsi="Arial"/>
          <w:b/>
          <w:sz w:val="22"/>
        </w:rPr>
        <w:t>Data Quality Control</w:t>
      </w:r>
    </w:p>
    <w:p>
      <w:pPr>
        <w:pStyle w:val="ListBullet"/>
      </w:pPr>
      <w:r>
        <w:rPr>
          <w:rFonts w:ascii="Arial" w:hAnsi="Arial"/>
          <w:b/>
          <w:sz w:val="22"/>
        </w:rPr>
        <w:t>Trusted Sources</w:t>
      </w:r>
      <w:r>
        <w:rPr>
          <w:rFonts w:ascii="Arial" w:hAnsi="Arial"/>
          <w:sz w:val="22"/>
        </w:rPr>
        <w:t>: Prioritize officially published laws and regulations, authoritative institution case publications, and academic papers</w:t>
      </w:r>
    </w:p>
    <w:p>
      <w:pPr>
        <w:pStyle w:val="ListBullet"/>
      </w:pPr>
      <w:r>
        <w:rPr>
          <w:rFonts w:ascii="Arial" w:hAnsi="Arial"/>
          <w:b/>
          <w:sz w:val="22"/>
        </w:rPr>
        <w:t>Deduplication and Cleaning</w:t>
      </w:r>
      <w:r>
        <w:rPr>
          <w:rFonts w:ascii="Arial" w:hAnsi="Arial"/>
          <w:sz w:val="22"/>
        </w:rPr>
        <w:t>: Exact deduplication + semantic deduplication to remove duplicate and low-quality samples</w:t>
      </w:r>
    </w:p>
    <w:p>
      <w:pPr>
        <w:pStyle w:val="ListBullet"/>
      </w:pPr>
      <w:r>
        <w:rPr>
          <w:rFonts w:ascii="Arial" w:hAnsi="Arial"/>
          <w:b/>
          <w:sz w:val="22"/>
        </w:rPr>
        <w:t>Bias Detection</w:t>
      </w:r>
      <w:r>
        <w:rPr>
          <w:rFonts w:ascii="Arial" w:hAnsi="Arial"/>
          <w:sz w:val="22"/>
        </w:rPr>
        <w:t>: Detect and correct gender, racial, and regional biases in data</w:t>
      </w:r>
    </w:p>
    <w:p>
      <w:pPr>
        <w:pStyle w:val="ListBullet"/>
      </w:pPr>
      <w:r>
        <w:rPr>
          <w:rFonts w:ascii="Arial" w:hAnsi="Arial"/>
          <w:b/>
          <w:sz w:val="22"/>
        </w:rPr>
        <w:t>Expert Review</w:t>
      </w:r>
      <w:r>
        <w:rPr>
          <w:rFonts w:ascii="Arial" w:hAnsi="Arial"/>
          <w:sz w:val="22"/>
        </w:rPr>
        <w:t>: Key data samples reviewed and confirmed by experts in law, ethics, and governance domains</w:t>
      </w:r>
    </w:p>
    <w:p>
      <w:pPr>
        <w:pStyle w:val="ListBullet"/>
      </w:pPr>
      <w:r>
        <w:rPr>
          <w:rFonts w:ascii="Arial" w:hAnsi="Arial"/>
          <w:b/>
          <w:sz w:val="22"/>
        </w:rPr>
        <w:t>Data Provenance</w:t>
      </w:r>
      <w:r>
        <w:rPr>
          <w:rFonts w:ascii="Arial" w:hAnsi="Arial"/>
          <w:sz w:val="22"/>
        </w:rPr>
        <w:t>: Each training sample records source, version, and reviewer for full traceability</w:t>
      </w:r>
    </w:p>
    <w:p>
      <w:r>
        <w:rPr>
          <w:rFonts w:ascii="Arial" w:hAnsi="Arial"/>
          <w:b/>
          <w:sz w:val="22"/>
        </w:rPr>
        <w:t>3.2.2 Fine-tuning Technology Selection</w:t>
      </w:r>
    </w:p>
    <w:tbl>
      <w:tblPr>
        <w:tblStyle w:val="LightShading-Accent1"/>
        <w:tblW w:type="auto" w:w="0"/>
        <w:tblLook w:firstColumn="1" w:firstRow="1" w:lastColumn="0" w:lastRow="0" w:noHBand="0" w:noVBand="1" w:val="04A0"/>
      </w:tblPr>
      <w:tblGrid>
        <w:gridCol w:w="1872"/>
        <w:gridCol w:w="1872"/>
        <w:gridCol w:w="1872"/>
        <w:gridCol w:w="1872"/>
        <w:gridCol w:w="1872"/>
      </w:tblGrid>
      <w:tr>
        <w:tc>
          <w:tcPr>
            <w:tcW w:type="dxa" w:w="1872"/>
          </w:tcPr>
          <w:p>
            <w:r>
              <w:rPr>
                <w:rFonts w:ascii="Arial" w:hAnsi="Arial"/>
                <w:b/>
                <w:sz w:val="18"/>
              </w:rPr>
              <w:t>Fine-tuning Method</w:t>
            </w:r>
          </w:p>
        </w:tc>
        <w:tc>
          <w:tcPr>
            <w:tcW w:type="dxa" w:w="1872"/>
          </w:tcPr>
          <w:p>
            <w:r>
              <w:rPr>
                <w:rFonts w:ascii="Arial" w:hAnsi="Arial"/>
                <w:b/>
                <w:sz w:val="18"/>
              </w:rPr>
              <w:t>VRAM Requirement</w:t>
            </w:r>
          </w:p>
        </w:tc>
        <w:tc>
          <w:tcPr>
            <w:tcW w:type="dxa" w:w="1872"/>
          </w:tcPr>
          <w:p>
            <w:r>
              <w:rPr>
                <w:rFonts w:ascii="Arial" w:hAnsi="Arial"/>
                <w:b/>
                <w:sz w:val="18"/>
              </w:rPr>
              <w:t>Training Speed</w:t>
            </w:r>
          </w:p>
        </w:tc>
        <w:tc>
          <w:tcPr>
            <w:tcW w:type="dxa" w:w="1872"/>
          </w:tcPr>
          <w:p>
            <w:r>
              <w:rPr>
                <w:rFonts w:ascii="Arial" w:hAnsi="Arial"/>
                <w:b/>
                <w:sz w:val="18"/>
              </w:rPr>
              <w:t>Effectiveness</w:t>
            </w:r>
          </w:p>
        </w:tc>
        <w:tc>
          <w:tcPr>
            <w:tcW w:type="dxa" w:w="1872"/>
          </w:tcPr>
          <w:p>
            <w:r>
              <w:rPr>
                <w:rFonts w:ascii="Arial" w:hAnsi="Arial"/>
                <w:b/>
                <w:sz w:val="18"/>
              </w:rPr>
              <w:t>Applicable Scenario</w:t>
            </w:r>
          </w:p>
        </w:tc>
      </w:tr>
      <w:tr>
        <w:tc>
          <w:tcPr>
            <w:tcW w:type="dxa" w:w="1872"/>
          </w:tcPr>
          <w:p>
            <w:r>
              <w:rPr>
                <w:rFonts w:ascii="Arial" w:hAnsi="Arial"/>
                <w:sz w:val="18"/>
              </w:rPr>
              <w:t>Full-parameter Fine-tuning</w:t>
            </w:r>
          </w:p>
        </w:tc>
        <w:tc>
          <w:tcPr>
            <w:tcW w:type="dxa" w:w="1872"/>
          </w:tcPr>
          <w:p>
            <w:r>
              <w:rPr>
                <w:rFonts w:ascii="Arial" w:hAnsi="Arial"/>
                <w:sz w:val="18"/>
              </w:rPr>
              <w:t>~780GB (72B)</w:t>
            </w:r>
          </w:p>
        </w:tc>
        <w:tc>
          <w:tcPr>
            <w:tcW w:type="dxa" w:w="1872"/>
          </w:tcPr>
          <w:p>
            <w:r>
              <w:rPr>
                <w:rFonts w:ascii="Arial" w:hAnsi="Arial"/>
                <w:sz w:val="18"/>
              </w:rPr>
              <w:t>Baseline 1.0x</w:t>
            </w:r>
          </w:p>
        </w:tc>
        <w:tc>
          <w:tcPr>
            <w:tcW w:type="dxa" w:w="1872"/>
          </w:tcPr>
          <w:p>
            <w:r>
              <w:rPr>
                <w:rFonts w:ascii="Arial" w:hAnsi="Arial"/>
                <w:sz w:val="18"/>
              </w:rPr>
              <w:t>★★★★★</w:t>
            </w:r>
          </w:p>
        </w:tc>
        <w:tc>
          <w:tcPr>
            <w:tcW w:type="dxa" w:w="1872"/>
          </w:tcPr>
          <w:p>
            <w:r>
              <w:rPr>
                <w:rFonts w:ascii="Arial" w:hAnsi="Arial"/>
                <w:sz w:val="18"/>
              </w:rPr>
              <w:t>Final core model version, when resources are sufficient</w:t>
            </w:r>
          </w:p>
        </w:tc>
      </w:tr>
      <w:tr>
        <w:tc>
          <w:tcPr>
            <w:tcW w:type="dxa" w:w="1872"/>
          </w:tcPr>
          <w:p>
            <w:r>
              <w:rPr>
                <w:rFonts w:ascii="Arial" w:hAnsi="Arial"/>
                <w:sz w:val="18"/>
              </w:rPr>
              <w:t>LoRA (r=64)</w:t>
            </w:r>
          </w:p>
        </w:tc>
        <w:tc>
          <w:tcPr>
            <w:tcW w:type="dxa" w:w="1872"/>
          </w:tcPr>
          <w:p>
            <w:r>
              <w:rPr>
                <w:rFonts w:ascii="Arial" w:hAnsi="Arial"/>
                <w:sz w:val="18"/>
              </w:rPr>
              <w:t>~150GB</w:t>
            </w:r>
          </w:p>
        </w:tc>
        <w:tc>
          <w:tcPr>
            <w:tcW w:type="dxa" w:w="1872"/>
          </w:tcPr>
          <w:p>
            <w:r>
              <w:rPr>
                <w:rFonts w:ascii="Arial" w:hAnsi="Arial"/>
                <w:sz w:val="18"/>
              </w:rPr>
              <w:t>1.2-1.5x</w:t>
            </w:r>
          </w:p>
        </w:tc>
        <w:tc>
          <w:tcPr>
            <w:tcW w:type="dxa" w:w="1872"/>
          </w:tcPr>
          <w:p>
            <w:r>
              <w:rPr>
                <w:rFonts w:ascii="Arial" w:hAnsi="Arial"/>
                <w:sz w:val="18"/>
              </w:rPr>
              <w:t>★★★★☆</w:t>
            </w:r>
          </w:p>
        </w:tc>
        <w:tc>
          <w:tcPr>
            <w:tcW w:type="dxa" w:w="1872"/>
          </w:tcPr>
          <w:p>
            <w:r>
              <w:rPr>
                <w:rFonts w:ascii="Arial" w:hAnsi="Arial"/>
                <w:sz w:val="18"/>
              </w:rPr>
              <w:t>Most business modules, routine iterations</w:t>
            </w:r>
          </w:p>
        </w:tc>
      </w:tr>
      <w:tr>
        <w:tc>
          <w:tcPr>
            <w:tcW w:type="dxa" w:w="1872"/>
          </w:tcPr>
          <w:p>
            <w:r>
              <w:rPr>
                <w:rFonts w:ascii="Arial" w:hAnsi="Arial"/>
                <w:sz w:val="18"/>
              </w:rPr>
              <w:t>QLoRA (4-bit)</w:t>
            </w:r>
          </w:p>
        </w:tc>
        <w:tc>
          <w:tcPr>
            <w:tcW w:type="dxa" w:w="1872"/>
          </w:tcPr>
          <w:p>
            <w:r>
              <w:rPr>
                <w:rFonts w:ascii="Arial" w:hAnsi="Arial"/>
                <w:sz w:val="18"/>
              </w:rPr>
              <w:t>~47GB</w:t>
            </w:r>
          </w:p>
        </w:tc>
        <w:tc>
          <w:tcPr>
            <w:tcW w:type="dxa" w:w="1872"/>
          </w:tcPr>
          <w:p>
            <w:r>
              <w:rPr>
                <w:rFonts w:ascii="Arial" w:hAnsi="Arial"/>
                <w:sz w:val="18"/>
              </w:rPr>
              <w:t>0.6-0.7x</w:t>
            </w:r>
          </w:p>
        </w:tc>
        <w:tc>
          <w:tcPr>
            <w:tcW w:type="dxa" w:w="1872"/>
          </w:tcPr>
          <w:p>
            <w:r>
              <w:rPr>
                <w:rFonts w:ascii="Arial" w:hAnsi="Arial"/>
                <w:sz w:val="18"/>
              </w:rPr>
              <w:t>★★★★☆</w:t>
            </w:r>
          </w:p>
        </w:tc>
        <w:tc>
          <w:tcPr>
            <w:tcW w:type="dxa" w:w="1872"/>
          </w:tcPr>
          <w:p>
            <w:r>
              <w:rPr>
                <w:rFonts w:ascii="Arial" w:hAnsi="Arial"/>
                <w:sz w:val="18"/>
              </w:rPr>
              <w:t>Resource-constrained scenarios, rapid prototype validation</w:t>
            </w:r>
          </w:p>
        </w:tc>
      </w:tr>
    </w:tbl>
    <w:p>
      <w:r>
        <w:rPr>
          <w:rFonts w:ascii="Arial" w:hAnsi="Arial"/>
          <w:sz w:val="22"/>
        </w:rPr>
        <w:t>+----------------------------------------------------------------------+</w:t>
      </w:r>
    </w:p>
    <w:tbl>
      <w:tblPr>
        <w:tblStyle w:val="LightShading-Accent1"/>
        <w:tblW w:type="auto" w:w="0"/>
        <w:tblLook w:firstColumn="1" w:firstRow="1" w:lastColumn="0" w:lastRow="0" w:noHBand="0" w:noVBand="1" w:val="04A0"/>
      </w:tblPr>
      <w:tblGrid>
        <w:gridCol w:w="9360"/>
      </w:tblGrid>
      <w:tr>
        <w:tc>
          <w:tcPr>
            <w:tcW w:type="dxa" w:w="9360"/>
          </w:tcPr>
          <w:p>
            <w:r>
              <w:rPr>
                <w:rFonts w:ascii="Arial" w:hAnsi="Arial"/>
                <w:b/>
                <w:sz w:val="18"/>
              </w:rPr>
              <w:t>Recommended Solution: QLoRA (4-bit quantization, r=64) as primary</w:t>
            </w:r>
          </w:p>
        </w:tc>
      </w:tr>
      <w:tr>
        <w:tc>
          <w:tcPr>
            <w:tcW w:type="dxa" w:w="9360"/>
          </w:tcPr>
          <w:p>
            <w:r>
              <w:rPr>
                <w:rFonts w:ascii="Arial" w:hAnsi="Arial"/>
                <w:sz w:val="18"/>
              </w:rPr>
              <w:t>Rationale: VRAM requirement reduced by over 90%, acceptable training</w:t>
            </w:r>
          </w:p>
        </w:tc>
      </w:tr>
      <w:tr>
        <w:tc>
          <w:tcPr>
            <w:tcW w:type="dxa" w:w="9360"/>
          </w:tcPr>
          <w:p>
            <w:r>
              <w:rPr>
                <w:rFonts w:ascii="Arial" w:hAnsi="Arial"/>
                <w:sz w:val="18"/>
              </w:rPr>
              <w:t>speed, only 1.3%-1.7% performance loss. Fully compliant with</w:t>
            </w:r>
          </w:p>
        </w:tc>
      </w:tr>
      <w:tr>
        <w:tc>
          <w:tcPr>
            <w:tcW w:type="dxa" w:w="9360"/>
          </w:tcPr>
          <w:p>
            <w:r>
              <w:rPr>
                <w:rFonts w:ascii="Arial" w:hAnsi="Arial"/>
                <w:sz w:val="18"/>
              </w:rPr>
              <w:t>"Zero Cost/Free Priority" principle, significantly lowering</w:t>
            </w:r>
          </w:p>
        </w:tc>
      </w:tr>
      <w:tr>
        <w:tc>
          <w:tcPr>
            <w:tcW w:type="dxa" w:w="9360"/>
          </w:tcPr>
          <w:p>
            <w:r>
              <w:rPr>
                <w:rFonts w:ascii="Arial" w:hAnsi="Arial"/>
                <w:sz w:val="18"/>
              </w:rPr>
              <w:t>training hardware barriers.</w:t>
            </w:r>
          </w:p>
        </w:tc>
      </w:tr>
    </w:tbl>
    <w:p>
      <w:r>
        <w:rPr>
          <w:rFonts w:ascii="Arial" w:hAnsi="Arial"/>
          <w:sz w:val="22"/>
        </w:rPr>
        <w:t>+----------------------------------------------------------------------+</w:t>
      </w:r>
    </w:p>
    <w:p>
      <w:r>
        <w:rPr>
          <w:rFonts w:ascii="Arial" w:hAnsi="Arial"/>
          <w:b/>
          <w:sz w:val="22"/>
        </w:rPr>
        <w:t>3.2.3 Training Hyperparameters</w:t>
      </w:r>
    </w:p>
    <w:tbl>
      <w:tblPr>
        <w:tblStyle w:val="LightShading-Accent1"/>
        <w:tblW w:type="auto" w:w="0"/>
        <w:tblLook w:firstColumn="1" w:firstRow="1" w:lastColumn="0" w:lastRow="0" w:noHBand="0" w:noVBand="1" w:val="04A0"/>
      </w:tblPr>
      <w:tblGrid>
        <w:gridCol w:w="3120"/>
        <w:gridCol w:w="3120"/>
        <w:gridCol w:w="3120"/>
      </w:tblGrid>
      <w:tr>
        <w:tc>
          <w:tcPr>
            <w:tcW w:type="dxa" w:w="3120"/>
          </w:tcPr>
          <w:p>
            <w:r>
              <w:rPr>
                <w:rFonts w:ascii="Arial" w:hAnsi="Arial"/>
                <w:b/>
                <w:sz w:val="18"/>
              </w:rPr>
              <w:t>Parameter</w:t>
            </w:r>
          </w:p>
        </w:tc>
        <w:tc>
          <w:tcPr>
            <w:tcW w:type="dxa" w:w="3120"/>
          </w:tcPr>
          <w:p>
            <w:r>
              <w:rPr>
                <w:rFonts w:ascii="Arial" w:hAnsi="Arial"/>
                <w:b/>
                <w:sz w:val="18"/>
              </w:rPr>
              <w:t>Recommended Value</w:t>
            </w:r>
          </w:p>
        </w:tc>
        <w:tc>
          <w:tcPr>
            <w:tcW w:type="dxa" w:w="3120"/>
          </w:tcPr>
          <w:p>
            <w:r>
              <w:rPr>
                <w:rFonts w:ascii="Arial" w:hAnsi="Arial"/>
                <w:b/>
                <w:sz w:val="18"/>
              </w:rPr>
              <w:t>Description</w:t>
            </w:r>
          </w:p>
        </w:tc>
      </w:tr>
      <w:tr>
        <w:tc>
          <w:tcPr>
            <w:tcW w:type="dxa" w:w="3120"/>
          </w:tcPr>
          <w:p>
            <w:r>
              <w:rPr>
                <w:rFonts w:ascii="Arial" w:hAnsi="Arial"/>
                <w:sz w:val="18"/>
              </w:rPr>
              <w:t>Learning Rate</w:t>
            </w:r>
          </w:p>
        </w:tc>
        <w:tc>
          <w:tcPr>
            <w:tcW w:type="dxa" w:w="3120"/>
          </w:tcPr>
          <w:p>
            <w:r>
              <w:rPr>
                <w:rFonts w:ascii="Arial" w:hAnsi="Arial"/>
                <w:sz w:val="18"/>
              </w:rPr>
              <w:t>2e-5</w:t>
            </w:r>
          </w:p>
        </w:tc>
        <w:tc>
          <w:tcPr>
            <w:tcW w:type="dxa" w:w="3120"/>
          </w:tcPr>
          <w:p>
            <w:r>
              <w:rPr>
                <w:rFonts w:ascii="Arial" w:hAnsi="Arial"/>
                <w:sz w:val="18"/>
              </w:rPr>
              <w:t>QLoRA recommended learning rate, slightly higher than full-parameter fine-tuning</w:t>
            </w:r>
          </w:p>
        </w:tc>
      </w:tr>
      <w:tr>
        <w:tc>
          <w:tcPr>
            <w:tcW w:type="dxa" w:w="3120"/>
          </w:tcPr>
          <w:p>
            <w:r>
              <w:rPr>
                <w:rFonts w:ascii="Arial" w:hAnsi="Arial"/>
                <w:sz w:val="18"/>
              </w:rPr>
              <w:t>Batch Size</w:t>
            </w:r>
          </w:p>
        </w:tc>
        <w:tc>
          <w:tcPr>
            <w:tcW w:type="dxa" w:w="3120"/>
          </w:tcPr>
          <w:p>
            <w:r>
              <w:rPr>
                <w:rFonts w:ascii="Arial" w:hAnsi="Arial"/>
                <w:sz w:val="18"/>
              </w:rPr>
              <w:t>128</w:t>
            </w:r>
          </w:p>
        </w:tc>
        <w:tc>
          <w:tcPr>
            <w:tcW w:type="dxa" w:w="3120"/>
          </w:tcPr>
          <w:p>
            <w:r>
              <w:rPr>
                <w:rFonts w:ascii="Arial" w:hAnsi="Arial"/>
                <w:sz w:val="18"/>
              </w:rPr>
              <w:t>Achieved via gradient accumulation to ensure training stability</w:t>
            </w:r>
          </w:p>
        </w:tc>
      </w:tr>
      <w:tr>
        <w:tc>
          <w:tcPr>
            <w:tcW w:type="dxa" w:w="3120"/>
          </w:tcPr>
          <w:p>
            <w:r>
              <w:rPr>
                <w:rFonts w:ascii="Arial" w:hAnsi="Arial"/>
                <w:sz w:val="18"/>
              </w:rPr>
              <w:t>Epochs</w:t>
            </w:r>
          </w:p>
        </w:tc>
        <w:tc>
          <w:tcPr>
            <w:tcW w:type="dxa" w:w="3120"/>
          </w:tcPr>
          <w:p>
            <w:r>
              <w:rPr>
                <w:rFonts w:ascii="Arial" w:hAnsi="Arial"/>
                <w:sz w:val="18"/>
              </w:rPr>
              <w:t>3-5</w:t>
            </w:r>
          </w:p>
        </w:tc>
        <w:tc>
          <w:tcPr>
            <w:tcW w:type="dxa" w:w="3120"/>
          </w:tcPr>
          <w:p>
            <w:r>
              <w:rPr>
                <w:rFonts w:ascii="Arial" w:hAnsi="Arial"/>
                <w:sz w:val="18"/>
              </w:rPr>
              <w:t>Prevent overfitting, early stopping strategy monitors validation set</w:t>
            </w:r>
          </w:p>
        </w:tc>
      </w:tr>
      <w:tr>
        <w:tc>
          <w:tcPr>
            <w:tcW w:type="dxa" w:w="3120"/>
          </w:tcPr>
          <w:p>
            <w:r>
              <w:rPr>
                <w:rFonts w:ascii="Arial" w:hAnsi="Arial"/>
                <w:sz w:val="18"/>
              </w:rPr>
              <w:t>LoRA Rank (r)</w:t>
            </w:r>
          </w:p>
        </w:tc>
        <w:tc>
          <w:tcPr>
            <w:tcW w:type="dxa" w:w="3120"/>
          </w:tcPr>
          <w:p>
            <w:r>
              <w:rPr>
                <w:rFonts w:ascii="Arial" w:hAnsi="Arial"/>
                <w:sz w:val="18"/>
              </w:rPr>
              <w:t>64</w:t>
            </w:r>
          </w:p>
        </w:tc>
        <w:tc>
          <w:tcPr>
            <w:tcW w:type="dxa" w:w="3120"/>
          </w:tcPr>
          <w:p>
            <w:r>
              <w:rPr>
                <w:rFonts w:ascii="Arial" w:hAnsi="Arial"/>
                <w:sz w:val="18"/>
              </w:rPr>
              <w:t>Balance parameter count and effectiveness; can be adjusted to 128 as needed</w:t>
            </w:r>
          </w:p>
        </w:tc>
      </w:tr>
      <w:tr>
        <w:tc>
          <w:tcPr>
            <w:tcW w:type="dxa" w:w="3120"/>
          </w:tcPr>
          <w:p>
            <w:r>
              <w:rPr>
                <w:rFonts w:ascii="Arial" w:hAnsi="Arial"/>
                <w:sz w:val="18"/>
              </w:rPr>
              <w:t>LoRA Alpha</w:t>
            </w:r>
          </w:p>
        </w:tc>
        <w:tc>
          <w:tcPr>
            <w:tcW w:type="dxa" w:w="3120"/>
          </w:tcPr>
          <w:p>
            <w:r>
              <w:rPr>
                <w:rFonts w:ascii="Arial" w:hAnsi="Arial"/>
                <w:sz w:val="18"/>
              </w:rPr>
              <w:t>128</w:t>
            </w:r>
          </w:p>
        </w:tc>
        <w:tc>
          <w:tcPr>
            <w:tcW w:type="dxa" w:w="3120"/>
          </w:tcPr>
          <w:p>
            <w:r>
              <w:rPr>
                <w:rFonts w:ascii="Arial" w:hAnsi="Arial"/>
                <w:sz w:val="18"/>
              </w:rPr>
              <w:t>Typically set to 2x rank</w:t>
            </w:r>
          </w:p>
        </w:tc>
      </w:tr>
      <w:tr>
        <w:tc>
          <w:tcPr>
            <w:tcW w:type="dxa" w:w="3120"/>
          </w:tcPr>
          <w:p>
            <w:r>
              <w:rPr>
                <w:rFonts w:ascii="Arial" w:hAnsi="Arial"/>
                <w:sz w:val="18"/>
              </w:rPr>
              <w:t>Target Modules</w:t>
            </w:r>
          </w:p>
        </w:tc>
        <w:tc>
          <w:tcPr>
            <w:tcW w:type="dxa" w:w="3120"/>
          </w:tcPr>
          <w:p>
            <w:r>
              <w:rPr>
                <w:rFonts w:ascii="Arial" w:hAnsi="Arial"/>
                <w:sz w:val="18"/>
              </w:rPr>
              <w:t>q_proj, v_proj, k_proj, o_proj</w:t>
            </w:r>
          </w:p>
        </w:tc>
        <w:tc>
          <w:tcPr>
            <w:tcW w:type="dxa" w:w="3120"/>
          </w:tcPr>
          <w:p>
            <w:r>
              <w:rPr>
                <w:rFonts w:ascii="Arial" w:hAnsi="Arial"/>
                <w:sz w:val="18"/>
              </w:rPr>
              <w:t>All projection matrices in attention layers</w:t>
            </w:r>
          </w:p>
        </w:tc>
      </w:tr>
      <w:tr>
        <w:tc>
          <w:tcPr>
            <w:tcW w:type="dxa" w:w="3120"/>
          </w:tcPr>
          <w:p>
            <w:r>
              <w:rPr>
                <w:rFonts w:ascii="Arial" w:hAnsi="Arial"/>
                <w:sz w:val="18"/>
              </w:rPr>
              <w:t>Quantization Precision</w:t>
            </w:r>
          </w:p>
        </w:tc>
        <w:tc>
          <w:tcPr>
            <w:tcW w:type="dxa" w:w="3120"/>
          </w:tcPr>
          <w:p>
            <w:r>
              <w:rPr>
                <w:rFonts w:ascii="Arial" w:hAnsi="Arial"/>
                <w:sz w:val="18"/>
              </w:rPr>
              <w:t>4-bit NF4</w:t>
            </w:r>
          </w:p>
        </w:tc>
        <w:tc>
          <w:tcPr>
            <w:tcW w:type="dxa" w:w="3120"/>
          </w:tcPr>
          <w:p>
            <w:r>
              <w:rPr>
                <w:rFonts w:ascii="Arial" w:hAnsi="Arial"/>
                <w:sz w:val="18"/>
              </w:rPr>
              <w:t>Normalized Float 4-bit quantization, optimal precision</w:t>
            </w:r>
          </w:p>
        </w:tc>
      </w:tr>
      <w:tr>
        <w:tc>
          <w:tcPr>
            <w:tcW w:type="dxa" w:w="3120"/>
          </w:tcPr>
          <w:p>
            <w:r>
              <w:rPr>
                <w:rFonts w:ascii="Arial" w:hAnsi="Arial"/>
                <w:sz w:val="18"/>
              </w:rPr>
              <w:t>Sequence Length</w:t>
            </w:r>
          </w:p>
        </w:tc>
        <w:tc>
          <w:tcPr>
            <w:tcW w:type="dxa" w:w="3120"/>
          </w:tcPr>
          <w:p>
            <w:r>
              <w:rPr>
                <w:rFonts w:ascii="Arial" w:hAnsi="Arial"/>
                <w:sz w:val="18"/>
              </w:rPr>
              <w:t>8192</w:t>
            </w:r>
          </w:p>
        </w:tc>
        <w:tc>
          <w:tcPr>
            <w:tcW w:type="dxa" w:w="3120"/>
          </w:tcPr>
          <w:p>
            <w:r>
              <w:rPr>
                <w:rFonts w:ascii="Arial" w:hAnsi="Arial"/>
                <w:sz w:val="18"/>
              </w:rPr>
              <w:t>Balance training efficiency and long-text capability</w:t>
            </w:r>
          </w:p>
        </w:tc>
      </w:tr>
    </w:tbl>
    <w:p>
      <w:r>
        <w:rPr>
          <w:rFonts w:ascii="Arial" w:hAnsi="Arial"/>
          <w:b/>
          <w:sz w:val="22"/>
        </w:rPr>
        <w:t>3.3 Value Alignment Scheme</w:t>
      </w:r>
    </w:p>
    <w:p>
      <w:r>
        <w:rPr>
          <w:rFonts w:ascii="Arial" w:hAnsi="Arial"/>
          <w:b/>
          <w:sz w:val="22"/>
        </w:rPr>
        <w:t>3.3.1 Alignment Technical Route: Constitutional AI + DPO</w:t>
      </w:r>
    </w:p>
    <w:p>
      <w:r>
        <w:rPr>
          <w:rFonts w:ascii="Arial" w:hAnsi="Arial"/>
          <w:sz w:val="22"/>
        </w:rPr>
        <w:t>+----------------------------------+----------------------------------+</w:t>
      </w:r>
    </w:p>
    <w:tbl>
      <w:tblPr>
        <w:tblStyle w:val="LightShading-Accent1"/>
        <w:tblW w:type="auto" w:w="0"/>
        <w:tblLook w:firstColumn="1" w:firstRow="1" w:lastColumn="0" w:lastRow="0" w:noHBand="0" w:noVBand="1" w:val="04A0"/>
      </w:tblPr>
      <w:tblGrid>
        <w:gridCol w:w="4680"/>
        <w:gridCol w:w="4680"/>
      </w:tblGrid>
      <w:tr>
        <w:tc>
          <w:tcPr>
            <w:tcW w:type="dxa" w:w="4680"/>
          </w:tcPr>
          <w:p>
            <w:r>
              <w:rPr>
                <w:rFonts w:ascii="Arial" w:hAnsi="Arial"/>
                <w:b/>
                <w:sz w:val="18"/>
              </w:rPr>
              <w:t>--------------------------------</w:t>
            </w:r>
          </w:p>
        </w:tc>
        <w:tc>
          <w:tcPr>
            <w:tcW w:type="dxa" w:w="4680"/>
          </w:tcPr>
          <w:p>
            <w:r>
              <w:rPr>
                <w:rFonts w:ascii="Arial" w:hAnsi="Arial"/>
                <w:b/>
                <w:sz w:val="18"/>
              </w:rPr>
              <w:t>DPO (Direct Preference</w:t>
            </w:r>
          </w:p>
        </w:tc>
      </w:tr>
      <w:tr>
        <w:tc>
          <w:tcPr>
            <w:tcW w:type="dxa" w:w="4680"/>
          </w:tcPr>
          <w:p>
            <w:r>
              <w:rPr>
                <w:rFonts w:ascii="Arial" w:hAnsi="Arial"/>
                <w:sz w:val="18"/>
              </w:rPr>
              <w:t>Constitutional AI</w:t>
            </w:r>
          </w:p>
        </w:tc>
        <w:tc>
          <w:tcPr>
            <w:tcW w:type="dxa" w:w="4680"/>
          </w:tcPr>
          <w:p>
            <w:r>
              <w:rPr>
                <w:rFonts w:ascii="Arial" w:hAnsi="Arial"/>
                <w:sz w:val="18"/>
              </w:rPr>
              <w:t>Optimization)</w:t>
            </w:r>
          </w:p>
        </w:tc>
      </w:tr>
      <w:tr>
        <w:tc>
          <w:tcPr>
            <w:tcW w:type="dxa" w:w="4680"/>
          </w:tcPr>
          <w:p>
            <w:r>
              <w:rPr>
                <w:rFonts w:ascii="Arial" w:hAnsi="Arial"/>
                <w:sz w:val="18"/>
              </w:rPr>
              <w:t>--------------------------------</w:t>
            </w:r>
          </w:p>
        </w:tc>
        <w:tc>
          <w:tcPr>
            <w:tcW w:type="dxa" w:w="4680"/>
          </w:tcPr>
          <w:p>
            <w:r>
              <w:rPr>
                <w:rFonts w:ascii="Arial" w:hAnsi="Arial"/>
                <w:sz w:val="18"/>
              </w:rPr>
              <w:t>Core concept:</w:t>
            </w:r>
          </w:p>
        </w:tc>
      </w:tr>
      <w:tr>
        <w:tc>
          <w:tcPr>
            <w:tcW w:type="dxa" w:w="4680"/>
          </w:tcPr>
          <w:p>
            <w:r>
              <w:rPr>
                <w:rFonts w:ascii="Arial" w:hAnsi="Arial"/>
                <w:sz w:val="18"/>
              </w:rPr>
            </w:r>
          </w:p>
        </w:tc>
        <w:tc>
          <w:tcPr>
            <w:tcW w:type="dxa" w:w="4680"/>
          </w:tcPr>
          <w:p>
            <w:r>
              <w:rPr>
                <w:rFonts w:ascii="Arial" w:hAnsi="Arial"/>
                <w:sz w:val="18"/>
              </w:rPr>
              <w:t>Directly optimize policy using</w:t>
            </w:r>
          </w:p>
        </w:tc>
      </w:tr>
      <w:tr>
        <w:tc>
          <w:tcPr>
            <w:tcW w:type="dxa" w:w="4680"/>
          </w:tcPr>
          <w:p>
            <w:r>
              <w:rPr>
                <w:rFonts w:ascii="Arial" w:hAnsi="Arial"/>
                <w:sz w:val="18"/>
              </w:rPr>
              <w:t>Core concept: Define a set of</w:t>
            </w:r>
          </w:p>
        </w:tc>
        <w:tc>
          <w:tcPr>
            <w:tcW w:type="dxa" w:w="4680"/>
          </w:tcPr>
          <w:p>
            <w:r>
              <w:rPr>
                <w:rFonts w:ascii="Arial" w:hAnsi="Arial"/>
                <w:sz w:val="18"/>
              </w:rPr>
              <w:t>preference pairs, no reward</w:t>
            </w:r>
          </w:p>
        </w:tc>
      </w:tr>
      <w:tr>
        <w:tc>
          <w:tcPr>
            <w:tcW w:type="dxa" w:w="4680"/>
          </w:tcPr>
          <w:p>
            <w:r>
              <w:rPr>
                <w:rFonts w:ascii="Arial" w:hAnsi="Arial"/>
                <w:sz w:val="18"/>
              </w:rPr>
              <w:t>"constitutional principles" and</w:t>
            </w:r>
          </w:p>
        </w:tc>
        <w:tc>
          <w:tcPr>
            <w:tcW w:type="dxa" w:w="4680"/>
          </w:tcPr>
          <w:p>
            <w:r>
              <w:rPr>
                <w:rFonts w:ascii="Arial" w:hAnsi="Arial"/>
                <w:sz w:val="18"/>
              </w:rPr>
              <w:t>model required</w:t>
            </w:r>
          </w:p>
        </w:tc>
      </w:tr>
      <w:tr>
        <w:tc>
          <w:tcPr>
            <w:tcW w:type="dxa" w:w="4680"/>
          </w:tcPr>
          <w:p>
            <w:r>
              <w:rPr>
                <w:rFonts w:ascii="Arial" w:hAnsi="Arial"/>
                <w:sz w:val="18"/>
              </w:rPr>
              <w:t>let AI evaluate and revise its</w:t>
            </w:r>
          </w:p>
        </w:tc>
        <w:tc>
          <w:tcPr>
            <w:tcW w:type="dxa" w:w="4680"/>
          </w:tcPr>
          <w:p>
            <w:r>
              <w:rPr>
                <w:rFonts w:ascii="Arial" w:hAnsi="Arial"/>
                <w:sz w:val="18"/>
              </w:rPr>
            </w:r>
          </w:p>
        </w:tc>
      </w:tr>
      <w:tr>
        <w:tc>
          <w:tcPr>
            <w:tcW w:type="dxa" w:w="4680"/>
          </w:tcPr>
          <w:p>
            <w:r>
              <w:rPr>
                <w:rFonts w:ascii="Arial" w:hAnsi="Arial"/>
                <w:sz w:val="18"/>
              </w:rPr>
              <w:t>outputs based on these</w:t>
            </w:r>
          </w:p>
        </w:tc>
        <w:tc>
          <w:tcPr>
            <w:tcW w:type="dxa" w:w="4680"/>
          </w:tcPr>
          <w:p>
            <w:r>
              <w:rPr>
                <w:rFonts w:ascii="Arial" w:hAnsi="Arial"/>
                <w:sz w:val="18"/>
              </w:rPr>
              <w:t>Advantages:</w:t>
            </w:r>
          </w:p>
        </w:tc>
      </w:tr>
      <w:tr>
        <w:tc>
          <w:tcPr>
            <w:tcW w:type="dxa" w:w="4680"/>
          </w:tcPr>
          <w:p>
            <w:r>
              <w:rPr>
                <w:rFonts w:ascii="Arial" w:hAnsi="Arial"/>
                <w:sz w:val="18"/>
              </w:rPr>
              <w:t>principles</w:t>
            </w:r>
          </w:p>
        </w:tc>
        <w:tc>
          <w:tcPr>
            <w:tcW w:type="dxa" w:w="4680"/>
          </w:tcPr>
          <w:p>
            <w:r>
              <w:rPr>
                <w:rFonts w:ascii="Arial" w:hAnsi="Arial"/>
                <w:sz w:val="18"/>
              </w:rPr>
            </w:r>
          </w:p>
        </w:tc>
      </w:tr>
      <w:tr>
        <w:tc>
          <w:tcPr>
            <w:tcW w:type="dxa" w:w="4680"/>
          </w:tcPr>
          <w:p>
            <w:r>
              <w:rPr>
                <w:rFonts w:ascii="Arial" w:hAnsi="Arial"/>
                <w:sz w:val="18"/>
              </w:rPr>
            </w:r>
          </w:p>
        </w:tc>
        <w:tc>
          <w:tcPr>
            <w:tcW w:type="dxa" w:w="4680"/>
          </w:tcPr>
          <w:p>
            <w:r>
              <w:rPr>
                <w:rFonts w:ascii="Arial" w:hAnsi="Arial"/>
                <w:sz w:val="18"/>
              </w:rPr>
              <w:t>-   Mathematically more elegant,</w:t>
            </w:r>
          </w:p>
        </w:tc>
      </w:tr>
      <w:tr>
        <w:tc>
          <w:tcPr>
            <w:tcW w:type="dxa" w:w="4680"/>
          </w:tcPr>
          <w:p>
            <w:r>
              <w:rPr>
                <w:rFonts w:ascii="Arial" w:hAnsi="Arial"/>
                <w:sz w:val="18"/>
              </w:rPr>
              <w:t>Advantages:</w:t>
            </w:r>
          </w:p>
        </w:tc>
        <w:tc>
          <w:tcPr>
            <w:tcW w:type="dxa" w:w="4680"/>
          </w:tcPr>
          <w:p>
            <w:r>
              <w:rPr>
                <w:rFonts w:ascii="Arial" w:hAnsi="Arial"/>
                <w:sz w:val="18"/>
              </w:rPr>
              <w:t>more stable training</w:t>
            </w:r>
          </w:p>
        </w:tc>
      </w:tr>
      <w:tr>
        <w:tc>
          <w:tcPr>
            <w:tcW w:type="dxa" w:w="4680"/>
          </w:tcPr>
          <w:p>
            <w:r>
              <w:rPr>
                <w:rFonts w:ascii="Arial" w:hAnsi="Arial"/>
                <w:sz w:val="18"/>
              </w:rPr>
              <w:t>-   No need for large-scale</w:t>
            </w:r>
          </w:p>
        </w:tc>
        <w:tc>
          <w:tcPr>
            <w:tcW w:type="dxa" w:w="4680"/>
          </w:tcPr>
          <w:p>
            <w:r>
              <w:rPr>
                <w:rFonts w:ascii="Arial" w:hAnsi="Arial"/>
                <w:sz w:val="18"/>
              </w:rPr>
              <w:t>-   Completed in two stages,</w:t>
            </w:r>
          </w:p>
        </w:tc>
      </w:tr>
      <w:tr>
        <w:tc>
          <w:tcPr>
            <w:tcW w:type="dxa" w:w="4680"/>
          </w:tcPr>
          <w:p>
            <w:r>
              <w:rPr>
                <w:rFonts w:ascii="Arial" w:hAnsi="Arial"/>
                <w:sz w:val="18"/>
              </w:rPr>
              <w:t>human annotation, low cost</w:t>
            </w:r>
          </w:p>
        </w:tc>
        <w:tc>
          <w:tcPr>
            <w:tcW w:type="dxa" w:w="4680"/>
          </w:tcPr>
          <w:p>
            <w:r>
              <w:rPr>
                <w:rFonts w:ascii="Arial" w:hAnsi="Arial"/>
                <w:sz w:val="18"/>
              </w:rPr>
              <w:t>simpler than RLHF</w:t>
            </w:r>
          </w:p>
        </w:tc>
      </w:tr>
      <w:tr>
        <w:tc>
          <w:tcPr>
            <w:tcW w:type="dxa" w:w="4680"/>
          </w:tcPr>
          <w:p>
            <w:r>
              <w:rPr>
                <w:rFonts w:ascii="Arial" w:hAnsi="Arial"/>
                <w:sz w:val="18"/>
              </w:rPr>
              <w:t>-   Values explicitly written</w:t>
            </w:r>
          </w:p>
        </w:tc>
        <w:tc>
          <w:tcPr>
            <w:tcW w:type="dxa" w:w="4680"/>
          </w:tcPr>
          <w:p>
            <w:r>
              <w:rPr>
                <w:rFonts w:ascii="Arial" w:hAnsi="Arial"/>
                <w:sz w:val="18"/>
              </w:rPr>
              <w:t>-   Performance comparable to or</w:t>
            </w:r>
          </w:p>
        </w:tc>
      </w:tr>
      <w:tr>
        <w:tc>
          <w:tcPr>
            <w:tcW w:type="dxa" w:w="4680"/>
          </w:tcPr>
          <w:p>
            <w:r>
              <w:rPr>
                <w:rFonts w:ascii="Arial" w:hAnsi="Arial"/>
                <w:sz w:val="18"/>
              </w:rPr>
              <w:t>into constitution,</w:t>
            </w:r>
          </w:p>
        </w:tc>
        <w:tc>
          <w:tcPr>
            <w:tcW w:type="dxa" w:w="4680"/>
          </w:tcPr>
          <w:p>
            <w:r>
              <w:rPr>
                <w:rFonts w:ascii="Arial" w:hAnsi="Arial"/>
                <w:sz w:val="18"/>
              </w:rPr>
              <w:t>better than RLHF</w:t>
            </w:r>
          </w:p>
        </w:tc>
      </w:tr>
      <w:tr>
        <w:tc>
          <w:tcPr>
            <w:tcW w:type="dxa" w:w="4680"/>
          </w:tcPr>
          <w:p>
            <w:r>
              <w:rPr>
                <w:rFonts w:ascii="Arial" w:hAnsi="Arial"/>
                <w:sz w:val="18"/>
              </w:rPr>
              <w:t>auditable</w:t>
            </w:r>
          </w:p>
        </w:tc>
        <w:tc>
          <w:tcPr>
            <w:tcW w:type="dxa" w:w="4680"/>
          </w:tcPr>
          <w:p>
            <w:r>
              <w:rPr>
                <w:rFonts w:ascii="Arial" w:hAnsi="Arial"/>
                <w:sz w:val="18"/>
              </w:rPr>
            </w:r>
          </w:p>
        </w:tc>
      </w:tr>
      <w:tr>
        <w:tc>
          <w:tcPr>
            <w:tcW w:type="dxa" w:w="4680"/>
          </w:tcPr>
          <w:p>
            <w:r>
              <w:rPr>
                <w:rFonts w:ascii="Arial" w:hAnsi="Arial"/>
                <w:sz w:val="18"/>
              </w:rPr>
            </w:r>
          </w:p>
        </w:tc>
        <w:tc>
          <w:tcPr>
            <w:tcW w:type="dxa" w:w="4680"/>
          </w:tcPr>
          <w:p>
            <w:r>
              <w:rPr>
                <w:rFonts w:ascii="Arial" w:hAnsi="Arial"/>
                <w:sz w:val="18"/>
              </w:rPr>
              <w:t>Application: Preference alignment</w:t>
            </w:r>
          </w:p>
        </w:tc>
      </w:tr>
      <w:tr>
        <w:tc>
          <w:tcPr>
            <w:tcW w:type="dxa" w:w="4680"/>
          </w:tcPr>
          <w:p>
            <w:r>
              <w:rPr>
                <w:rFonts w:ascii="Arial" w:hAnsi="Arial"/>
                <w:sz w:val="18"/>
              </w:rPr>
              <w:t>-   Self-critique mechanism,</w:t>
            </w:r>
          </w:p>
        </w:tc>
        <w:tc>
          <w:tcPr>
            <w:tcW w:type="dxa" w:w="4680"/>
          </w:tcPr>
          <w:p>
            <w:r>
              <w:rPr>
                <w:rFonts w:ascii="Arial" w:hAnsi="Arial"/>
                <w:sz w:val="18"/>
              </w:rPr>
              <w:t>for specific governance</w:t>
            </w:r>
          </w:p>
        </w:tc>
      </w:tr>
      <w:tr>
        <w:tc>
          <w:tcPr>
            <w:tcW w:type="dxa" w:w="4680"/>
          </w:tcPr>
          <w:p>
            <w:r>
              <w:rPr>
                <w:rFonts w:ascii="Arial" w:hAnsi="Arial"/>
                <w:sz w:val="18"/>
              </w:rPr>
              <w:t>continuous alignment</w:t>
            </w:r>
          </w:p>
        </w:tc>
        <w:tc>
          <w:tcPr>
            <w:tcW w:type="dxa" w:w="4680"/>
          </w:tcPr>
          <w:p>
            <w:r>
              <w:rPr>
                <w:rFonts w:ascii="Arial" w:hAnsi="Arial"/>
                <w:sz w:val="18"/>
              </w:rPr>
              <w:t>scenarios</w:t>
            </w:r>
          </w:p>
        </w:tc>
      </w:tr>
      <w:tr>
        <w:tc>
          <w:tcPr>
            <w:tcW w:type="dxa" w:w="4680"/>
          </w:tcPr>
          <w:p>
            <w:r>
              <w:rPr>
                <w:rFonts w:ascii="Arial" w:hAnsi="Arial"/>
                <w:sz w:val="18"/>
              </w:rPr>
              <w:t>Application: Founding</w:t>
            </w:r>
          </w:p>
        </w:tc>
        <w:tc>
          <w:tcPr>
            <w:tcW w:type="dxa" w:w="4680"/>
          </w:tcPr>
          <w:p>
            <w:r>
              <w:rPr>
                <w:rFonts w:ascii="Arial" w:hAnsi="Arial"/>
                <w:sz w:val="18"/>
              </w:rPr>
            </w:r>
          </w:p>
        </w:tc>
      </w:tr>
      <w:tr>
        <w:tc>
          <w:tcPr>
            <w:tcW w:type="dxa" w:w="4680"/>
          </w:tcPr>
          <w:p>
            <w:r>
              <w:rPr>
                <w:rFonts w:ascii="Arial" w:hAnsi="Arial"/>
                <w:sz w:val="18"/>
              </w:rPr>
              <w:t>constitutional principle</w:t>
            </w:r>
          </w:p>
        </w:tc>
        <w:tc>
          <w:tcPr>
            <w:tcW w:type="dxa" w:w="4680"/>
          </w:tcPr>
          <w:p>
            <w:r>
              <w:rPr>
                <w:rFonts w:ascii="Arial" w:hAnsi="Arial"/>
                <w:sz w:val="18"/>
              </w:rPr>
            </w:r>
          </w:p>
        </w:tc>
      </w:tr>
      <w:tr>
        <w:tc>
          <w:tcPr>
            <w:tcW w:type="dxa" w:w="4680"/>
          </w:tcPr>
          <w:p>
            <w:r>
              <w:rPr>
                <w:rFonts w:ascii="Arial" w:hAnsi="Arial"/>
                <w:sz w:val="18"/>
              </w:rPr>
              <w:t>alignment</w:t>
            </w:r>
          </w:p>
        </w:tc>
        <w:tc>
          <w:tcPr>
            <w:tcW w:type="dxa" w:w="4680"/>
          </w:tcPr>
          <w:p>
            <w:r>
              <w:rPr>
                <w:rFonts w:ascii="Arial" w:hAnsi="Arial"/>
                <w:sz w:val="18"/>
              </w:rPr>
            </w:r>
          </w:p>
        </w:tc>
      </w:tr>
    </w:tbl>
    <w:p>
      <w:r>
        <w:rPr>
          <w:rFonts w:ascii="Arial" w:hAnsi="Arial"/>
          <w:sz w:val="22"/>
        </w:rPr>
        <w:t>+----------------------------------+----------------------------------+</w:t>
      </w:r>
    </w:p>
    <w:p>
      <w:r>
        <w:rPr>
          <w:rFonts w:ascii="Arial" w:hAnsi="Arial"/>
          <w:b/>
          <w:sz w:val="22"/>
        </w:rPr>
        <w:t>3.3.2 Constitutional Principle Design</w:t>
      </w:r>
    </w:p>
    <w:p>
      <w:r>
        <w:rPr>
          <w:rFonts w:ascii="Arial" w:hAnsi="Arial"/>
          <w:sz w:val="22"/>
        </w:rPr>
        <w:t>Based on the 10 core articles of the founding constitution, expanded into a complete set of AI governance constitutional principles:</w:t>
      </w:r>
    </w:p>
    <w:p>
      <w:r>
        <w:rPr>
          <w:rFonts w:ascii="Arial" w:hAnsi="Arial"/>
          <w:sz w:val="22"/>
        </w:rPr>
        <w:t>------------ -------------------------------------------------------------------- Principle Category   Specific Principles Human Dignity        No decision may treat individuals as tools for achieving goals; individual autonomy and human dignity must be respected Fairness             Similar situations should be handled similarly; decisions must not create unjustified disparities based on gender, race, religion, or origin Transparency         All decisions must provide human-understandable reasoning chains; decision rationale must be traceable and verifiable Minimal Harm         When multiple options exist, choose the one that causes the least harm to all parties; prioritize protection of vulnerable groups Correctability       Any decision must be revocable or correctable; appeal and review channels must be provided Data Minimization    Only collect the minimum data necessary for task completion; no collection or use of citizen data beyond scope Rule of Law          Strictly execute according to adopted rules; no self-created rules or expansive interpretations permitted Fail-Safe            When encountering uncertainty or situations beyond capability, default to refusal and request human intervention ------------ --------------------------------------------------------------------</w:t>
      </w:r>
    </w:p>
    <w:p>
      <w:r>
        <w:rPr>
          <w:rFonts w:ascii="Arial" w:hAnsi="Arial"/>
          <w:b/>
          <w:sz w:val="22"/>
        </w:rPr>
        <w:t>3.3.3 CAI Training Process</w:t>
      </w:r>
    </w:p>
    <w:p>
      <w:pPr>
        <w:pStyle w:val="ListNumber"/>
      </w:pPr>
      <w:r>
        <w:rPr>
          <w:rFonts w:ascii="Arial" w:hAnsi="Arial"/>
          <w:b/>
          <w:sz w:val="22"/>
        </w:rPr>
        <w:t>Constitutional Principle Encoding</w:t>
      </w:r>
      <w:r>
        <w:rPr>
          <w:rFonts w:ascii="Arial" w:hAnsi="Arial"/>
          <w:sz w:val="22"/>
        </w:rPr>
        <w:t>: Transform constitutional principles into structured evaluation criteria and scoring dimensions</w:t>
      </w:r>
    </w:p>
    <w:p>
      <w:pPr>
        <w:pStyle w:val="ListNumber"/>
      </w:pPr>
      <w:r>
        <w:rPr>
          <w:rFonts w:ascii="Arial" w:hAnsi="Arial"/>
          <w:b/>
          <w:sz w:val="22"/>
        </w:rPr>
        <w:t>Self-Critique Generation</w:t>
      </w:r>
      <w:r>
        <w:rPr>
          <w:rFonts w:ascii="Arial" w:hAnsi="Arial"/>
          <w:sz w:val="22"/>
        </w:rPr>
        <w:t>: Have the model critique its own outputs to identify issues violating constitutional principles</w:t>
      </w:r>
    </w:p>
    <w:p>
      <w:pPr>
        <w:pStyle w:val="ListNumber"/>
      </w:pPr>
      <w:r>
        <w:rPr>
          <w:rFonts w:ascii="Arial" w:hAnsi="Arial"/>
          <w:b/>
          <w:sz w:val="22"/>
        </w:rPr>
        <w:t>Revised Output Generation</w:t>
      </w:r>
      <w:r>
        <w:rPr>
          <w:rFonts w:ascii="Arial" w:hAnsi="Arial"/>
          <w:sz w:val="22"/>
        </w:rPr>
        <w:t>: Generate revised outputs based on critique results</w:t>
      </w:r>
    </w:p>
    <w:p>
      <w:pPr>
        <w:pStyle w:val="ListNumber"/>
      </w:pPr>
      <w:r>
        <w:rPr>
          <w:rFonts w:ascii="Arial" w:hAnsi="Arial"/>
          <w:b/>
          <w:sz w:val="22"/>
        </w:rPr>
        <w:t>Preference Pair Construction</w:t>
      </w:r>
      <w:r>
        <w:rPr>
          <w:rFonts w:ascii="Arial" w:hAnsi="Arial"/>
          <w:sz w:val="22"/>
        </w:rPr>
        <w:t>: Original output vs. revised output constitutes preference pairs (revised output preferred)</w:t>
      </w:r>
    </w:p>
    <w:p>
      <w:pPr>
        <w:pStyle w:val="ListNumber"/>
      </w:pPr>
      <w:r>
        <w:rPr>
          <w:rFonts w:ascii="Arial" w:hAnsi="Arial"/>
          <w:b/>
          <w:sz w:val="22"/>
        </w:rPr>
        <w:t>DPO Training</w:t>
      </w:r>
      <w:r>
        <w:rPr>
          <w:rFonts w:ascii="Arial" w:hAnsi="Arial"/>
          <w:sz w:val="22"/>
        </w:rPr>
        <w:t>: Conduct Direct Preference Optimization using the generated preference pairs</w:t>
      </w:r>
    </w:p>
    <w:p>
      <w:pPr>
        <w:pStyle w:val="ListNumber"/>
      </w:pPr>
      <w:r>
        <w:rPr>
          <w:rFonts w:ascii="Arial" w:hAnsi="Arial"/>
          <w:b/>
          <w:sz w:val="22"/>
        </w:rPr>
        <w:t>Multi-Round Iteration</w:t>
      </w:r>
      <w:r>
        <w:rPr>
          <w:rFonts w:ascii="Arial" w:hAnsi="Arial"/>
          <w:sz w:val="22"/>
        </w:rPr>
        <w:t>: Repeat the critique-revise-train cycle, strengthening alignment with each round</w:t>
      </w:r>
    </w:p>
    <w:p>
      <w:r>
        <w:rPr>
          <w:rFonts w:ascii="Arial" w:hAnsi="Arial"/>
          <w:b/>
          <w:sz w:val="22"/>
        </w:rPr>
        <w:t>3.3.4 DPO Training Configuration</w:t>
      </w:r>
    </w:p>
    <w:p>
      <w:r>
        <w:rPr>
          <w:rFonts w:ascii="Arial" w:hAnsi="Arial"/>
          <w:sz w:val="22"/>
        </w:rPr>
        <w:t>------------ --------- -------------------------------- Parameter    Recommended Value   Description Preference Pairs   100,000 pairs    Includes CAI-generated and human-annotated portions Learning Rate   5e-7      DPO learning rate typically one order of magnitude smaller than SFT Beta Parameter   0.1       Controls KL divergence from reference model Epochs   2-3       Avoid capability degradation from over-optimization Loss Function   DPOLoss   Standard DPO loss function ------------ --------- --------------------------------</w:t>
      </w:r>
    </w:p>
    <w:p>
      <w:r>
        <w:rPr>
          <w:rFonts w:ascii="Arial" w:hAnsi="Arial"/>
          <w:b/>
          <w:sz w:val="22"/>
        </w:rPr>
        <w:t>3.4 RAG + Knowledge Graph Enhancement</w:t>
      </w:r>
    </w:p>
    <w:p>
      <w:r>
        <w:rPr>
          <w:rFonts w:ascii="Arial" w:hAnsi="Arial"/>
          <w:b/>
          <w:sz w:val="22"/>
        </w:rPr>
        <w:t>3.4.1 Why RAG is Needed</w:t>
      </w:r>
    </w:p>
    <w:p>
      <w:pPr>
        <w:pStyle w:val="ListBullet"/>
      </w:pPr>
      <w:r>
        <w:rPr>
          <w:rFonts w:ascii="Arial" w:hAnsi="Arial"/>
          <w:b/>
          <w:sz w:val="22"/>
        </w:rPr>
        <w:t>Knowledge Timeliness</w:t>
      </w:r>
      <w:r>
        <w:rPr>
          <w:rFonts w:ascii="Arial" w:hAnsi="Arial"/>
          <w:sz w:val="22"/>
        </w:rPr>
        <w:t>: Laws, regulations, and policy documents are updated; model training data has latency</w:t>
      </w:r>
    </w:p>
    <w:p>
      <w:pPr>
        <w:pStyle w:val="ListBullet"/>
      </w:pPr>
      <w:r>
        <w:rPr>
          <w:rFonts w:ascii="Arial" w:hAnsi="Arial"/>
          <w:b/>
          <w:sz w:val="22"/>
        </w:rPr>
        <w:t>Explainability</w:t>
      </w:r>
      <w:r>
        <w:rPr>
          <w:rFonts w:ascii="Arial" w:hAnsi="Arial"/>
          <w:sz w:val="22"/>
        </w:rPr>
        <w:t>: Decisions can be traced to specific legal provisions or cases, enhancing credibility</w:t>
      </w:r>
    </w:p>
    <w:p>
      <w:pPr>
        <w:pStyle w:val="ListBullet"/>
      </w:pPr>
      <w:r>
        <w:rPr>
          <w:rFonts w:ascii="Arial" w:hAnsi="Arial"/>
          <w:b/>
          <w:sz w:val="22"/>
        </w:rPr>
        <w:t>Hallucination Reduction</w:t>
      </w:r>
      <w:r>
        <w:rPr>
          <w:rFonts w:ascii="Arial" w:hAnsi="Arial"/>
          <w:sz w:val="22"/>
        </w:rPr>
        <w:t>: Answers generated based on retrieved real knowledge reduce fabrication risks</w:t>
      </w:r>
    </w:p>
    <w:p>
      <w:pPr>
        <w:pStyle w:val="ListBullet"/>
      </w:pPr>
      <w:r>
        <w:rPr>
          <w:rFonts w:ascii="Arial" w:hAnsi="Arial"/>
          <w:b/>
          <w:sz w:val="22"/>
        </w:rPr>
        <w:t>Domain Expertise</w:t>
      </w:r>
      <w:r>
        <w:rPr>
          <w:rFonts w:ascii="Arial" w:hAnsi="Arial"/>
          <w:sz w:val="22"/>
        </w:rPr>
        <w:t>: Deep optimization for specific governance domains; more accurate than general-purpose models</w:t>
      </w:r>
    </w:p>
    <w:p>
      <w:r>
        <w:rPr>
          <w:rFonts w:ascii="Arial" w:hAnsi="Arial"/>
          <w:b/>
          <w:sz w:val="22"/>
        </w:rPr>
        <w:t>3.4.2 GraphRAG Architecture</w:t>
      </w:r>
    </w:p>
    <w:p>
      <w:r>
        <w:rPr>
          <w:rFonts w:ascii="Arial" w:hAnsi="Arial"/>
          <w:sz w:val="22"/>
        </w:rPr>
        <w:t>+----------------------------+----------------------------------+</w:t>
      </w:r>
    </w:p>
    <w:tbl>
      <w:tblPr>
        <w:tblStyle w:val="LightShading-Accent1"/>
        <w:tblW w:type="auto" w:w="0"/>
        <w:tblLook w:firstColumn="1" w:firstRow="1" w:lastColumn="0" w:lastRow="0" w:noHBand="0" w:noVBand="1" w:val="04A0"/>
      </w:tblPr>
      <w:tblGrid>
        <w:gridCol w:w="4680"/>
        <w:gridCol w:w="4680"/>
      </w:tblGrid>
      <w:tr>
        <w:tc>
          <w:tcPr>
            <w:tcW w:type="dxa" w:w="4680"/>
          </w:tcPr>
          <w:p>
            <w:r>
              <w:rPr>
                <w:rFonts w:ascii="Arial" w:hAnsi="Arial"/>
                <w:b/>
                <w:sz w:val="18"/>
              </w:rPr>
              <w:t>Traditional RAG Limitations</w:t>
            </w:r>
          </w:p>
        </w:tc>
        <w:tc>
          <w:tcPr>
            <w:tcW w:type="dxa" w:w="4680"/>
          </w:tcPr>
          <w:p>
            <w:r>
              <w:rPr>
                <w:rFonts w:ascii="Arial" w:hAnsi="Arial"/>
                <w:b/>
                <w:sz w:val="18"/>
              </w:rPr>
              <w:t>GraphRAG Advantages</w:t>
            </w:r>
          </w:p>
        </w:tc>
      </w:tr>
      <w:tr>
        <w:tc>
          <w:tcPr>
            <w:tcW w:type="dxa" w:w="4680"/>
          </w:tcPr>
          <w:p>
            <w:r>
              <w:rPr>
                <w:rFonts w:ascii="Arial" w:hAnsi="Arial"/>
                <w:sz w:val="18"/>
              </w:rPr>
              <w:t>-   Can only retrieve scattered text fragments</w:t>
            </w:r>
          </w:p>
        </w:tc>
        <w:tc>
          <w:tcPr>
            <w:tcW w:type="dxa" w:w="4680"/>
          </w:tcPr>
          <w:p>
            <w:r>
              <w:rPr>
                <w:rFonts w:ascii="Arial" w:hAnsi="Arial"/>
                <w:sz w:val="18"/>
              </w:rPr>
              <w:t>-   Explicitly models entities and relationships</w:t>
            </w:r>
          </w:p>
        </w:tc>
      </w:tr>
      <w:tr>
        <w:tc>
          <w:tcPr>
            <w:tcW w:type="dxa" w:w="4680"/>
          </w:tcPr>
          <w:p>
            <w:r>
              <w:rPr>
                <w:rFonts w:ascii="Arial" w:hAnsi="Arial"/>
                <w:sz w:val="18"/>
              </w:rPr>
              <w:t>-   Unable to understand relationships between entities</w:t>
            </w:r>
          </w:p>
        </w:tc>
        <w:tc>
          <w:tcPr>
            <w:tcW w:type="dxa" w:w="4680"/>
          </w:tcPr>
          <w:p>
            <w:r>
              <w:rPr>
                <w:rFonts w:ascii="Arial" w:hAnsi="Arial"/>
                <w:sz w:val="18"/>
              </w:rPr>
              <w:t>-   Supports multi-hop reasoning and associative queries</w:t>
            </w:r>
          </w:p>
        </w:tc>
      </w:tr>
      <w:tr>
        <w:tc>
          <w:tcPr>
            <w:tcW w:type="dxa" w:w="4680"/>
          </w:tcPr>
          <w:p>
            <w:r>
              <w:rPr>
                <w:rFonts w:ascii="Arial" w:hAnsi="Arial"/>
                <w:sz w:val="18"/>
              </w:rPr>
              <w:t>-   Poor performance on complex reasoning problems</w:t>
            </w:r>
          </w:p>
        </w:tc>
        <w:tc>
          <w:tcPr>
            <w:tcW w:type="dxa" w:w="4680"/>
          </w:tcPr>
          <w:p>
            <w:r>
              <w:rPr>
                <w:rFonts w:ascii="Arial" w:hAnsi="Arial"/>
                <w:sz w:val="18"/>
              </w:rPr>
              <w:t>-   Decision rationale traceable to knowledge graph paths</w:t>
            </w:r>
          </w:p>
        </w:tc>
      </w:tr>
      <w:tr>
        <w:tc>
          <w:tcPr>
            <w:tcW w:type="dxa" w:w="4680"/>
          </w:tcPr>
          <w:p>
            <w:r>
              <w:rPr>
                <w:rFonts w:ascii="Arial" w:hAnsi="Arial"/>
                <w:sz w:val="18"/>
              </w:rPr>
              <w:t>-   Easily misses related information</w:t>
            </w:r>
          </w:p>
        </w:tc>
        <w:tc>
          <w:tcPr>
            <w:tcW w:type="dxa" w:w="4680"/>
          </w:tcPr>
          <w:p>
            <w:r>
              <w:rPr>
                <w:rFonts w:ascii="Arial" w:hAnsi="Arial"/>
                <w:sz w:val="18"/>
              </w:rPr>
              <w:t>-   Supports case consistency verification</w:t>
            </w:r>
          </w:p>
        </w:tc>
      </w:tr>
    </w:tbl>
    <w:p>
      <w:r>
        <w:rPr>
          <w:rFonts w:ascii="Arial" w:hAnsi="Arial"/>
          <w:sz w:val="22"/>
        </w:rPr>
        <w:t>+----------------------------+----------------------------------+</w:t>
      </w:r>
    </w:p>
    <w:p>
      <w:r>
        <w:rPr>
          <w:rFonts w:ascii="Arial" w:hAnsi="Arial"/>
          <w:b/>
          <w:sz w:val="22"/>
        </w:rPr>
        <w:t>3.4.3 Three Knowledge Graphs</w:t>
      </w:r>
    </w:p>
    <w:p>
      <w:r>
        <w:rPr>
          <w:rFonts w:ascii="Arial" w:hAnsi="Arial"/>
          <w:sz w:val="22"/>
        </w:rPr>
        <w:t>-------------- ------------------------------------------ ------------------------------ Knowledge Graph    Core Entities                          Application Scenarios Legal Knowledge Graph   Legal provisions, cases, crimes, sentences, legal principles   Judicial assistance, law enforcement, legal consultation Policy Knowledge Graph   Policies, departments, approval items, processing procedures, document requirements   Administrative approval, policy consultation, process optimization Fiscal Knowledge Graph   Budget categories, expenditure items, revenue sources, fiscal indicators   Fiscal management, budget analysis, economic regulation -------------- ------------------------------------------ ------------------------------</w:t>
      </w:r>
    </w:p>
    <w:p>
      <w:r>
        <w:rPr>
          <w:rFonts w:ascii="Arial" w:hAnsi="Arial"/>
          <w:b/>
          <w:sz w:val="22"/>
        </w:rPr>
        <w:t>3.4.4 Hybrid Retrieval Strategy</w:t>
      </w:r>
    </w:p>
    <w:p>
      <w:pPr>
        <w:pStyle w:val="ListNumber"/>
      </w:pPr>
      <w:r>
        <w:rPr>
          <w:rFonts w:ascii="Arial" w:hAnsi="Arial"/>
          <w:b/>
          <w:sz w:val="22"/>
        </w:rPr>
        <w:t>Sparse Retrieval (BM25)</w:t>
      </w:r>
      <w:r>
        <w:rPr>
          <w:rFonts w:ascii="Arial" w:hAnsi="Arial"/>
          <w:sz w:val="22"/>
        </w:rPr>
        <w:t>: Keyword-based matching, suitable for queries like precise statutory names and case numbers</w:t>
      </w:r>
    </w:p>
    <w:p>
      <w:pPr>
        <w:pStyle w:val="ListNumber"/>
      </w:pPr>
      <w:r>
        <w:rPr>
          <w:rFonts w:ascii="Arial" w:hAnsi="Arial"/>
          <w:b/>
          <w:sz w:val="22"/>
        </w:rPr>
        <w:t>Dense Retrieval (Vectors)</w:t>
      </w:r>
      <w:r>
        <w:rPr>
          <w:rFonts w:ascii="Arial" w:hAnsi="Arial"/>
          <w:sz w:val="22"/>
        </w:rPr>
        <w:t>: Semantic similarity-based, suitable for fuzzy queries and semantic understanding</w:t>
      </w:r>
    </w:p>
    <w:p>
      <w:pPr>
        <w:pStyle w:val="ListNumber"/>
      </w:pPr>
      <w:r>
        <w:rPr>
          <w:rFonts w:ascii="Arial" w:hAnsi="Arial"/>
          <w:b/>
          <w:sz w:val="22"/>
        </w:rPr>
        <w:t>Graph Retrieval</w:t>
      </w:r>
      <w:r>
        <w:rPr>
          <w:rFonts w:ascii="Arial" w:hAnsi="Arial"/>
          <w:sz w:val="22"/>
        </w:rPr>
        <w:t>: Entity relationship path-based, suitable for associative reasoning and multi-hop queries</w:t>
      </w:r>
    </w:p>
    <w:p>
      <w:pPr>
        <w:pStyle w:val="ListNumber"/>
      </w:pPr>
      <w:r>
        <w:rPr>
          <w:rFonts w:ascii="Arial" w:hAnsi="Arial"/>
          <w:b/>
          <w:sz w:val="22"/>
        </w:rPr>
        <w:t>Result Fusion (RRF)</w:t>
      </w:r>
      <w:r>
        <w:rPr>
          <w:rFonts w:ascii="Arial" w:hAnsi="Arial"/>
          <w:sz w:val="22"/>
        </w:rPr>
        <w:t>: Reciprocal Rank Fusion, integrating results from all three retrieval methods</w:t>
      </w:r>
    </w:p>
    <w:p>
      <w:pPr>
        <w:pStyle w:val="ListNumber"/>
      </w:pPr>
      <w:r>
        <w:rPr>
          <w:rFonts w:ascii="Arial" w:hAnsi="Arial"/>
          <w:b/>
          <w:sz w:val="22"/>
        </w:rPr>
        <w:t>Reranking</w:t>
      </w:r>
      <w:r>
        <w:rPr>
          <w:rFonts w:ascii="Arial" w:hAnsi="Arial"/>
          <w:sz w:val="22"/>
        </w:rPr>
        <w:t>: Use cross-encoder to refine ranking of top-k results</w:t>
      </w:r>
    </w:p>
    <w:p>
      <w:r>
        <w:rPr>
          <w:rFonts w:ascii="Arial" w:hAnsi="Arial"/>
          <w:b/>
          <w:sz w:val="22"/>
        </w:rPr>
        <w:t>3.5 Training Security and Audit</w:t>
      </w:r>
    </w:p>
    <w:p>
      <w:pPr>
        <w:pStyle w:val="ListBullet"/>
      </w:pPr>
      <w:r>
        <w:rPr>
          <w:rFonts w:ascii="Arial" w:hAnsi="Arial"/>
          <w:b/>
          <w:sz w:val="22"/>
        </w:rPr>
        <w:t>Data Poisoning Detection</w:t>
      </w:r>
      <w:r>
        <w:rPr>
          <w:rFonts w:ascii="Arial" w:hAnsi="Arial"/>
          <w:sz w:val="22"/>
        </w:rPr>
        <w:t>: Anomaly detection for training data samples, preventing data poisoning attacks</w:t>
      </w:r>
    </w:p>
    <w:p>
      <w:pPr>
        <w:pStyle w:val="ListBullet"/>
      </w:pPr>
      <w:r>
        <w:rPr>
          <w:rFonts w:ascii="Arial" w:hAnsi="Arial"/>
          <w:b/>
          <w:sz w:val="22"/>
        </w:rPr>
        <w:t>Training Process Monitoring</w:t>
      </w:r>
      <w:r>
        <w:rPr>
          <w:rFonts w:ascii="Arial" w:hAnsi="Arial"/>
          <w:sz w:val="22"/>
        </w:rPr>
        <w:t>: Real-time monitoring of training loss, gradients, and other metrics, with automatic alerts for anomalies</w:t>
      </w:r>
    </w:p>
    <w:p>
      <w:pPr>
        <w:pStyle w:val="ListBullet"/>
      </w:pPr>
      <w:r>
        <w:rPr>
          <w:rFonts w:ascii="Arial" w:hAnsi="Arial"/>
          <w:b/>
          <w:sz w:val="22"/>
        </w:rPr>
        <w:t>Model Fingerprint</w:t>
      </w:r>
      <w:r>
        <w:rPr>
          <w:rFonts w:ascii="Arial" w:hAnsi="Arial"/>
          <w:sz w:val="22"/>
        </w:rPr>
        <w:t>: Generate unique model fingerprint (hash) for each training version to prevent tampering</w:t>
      </w:r>
    </w:p>
    <w:p>
      <w:pPr>
        <w:pStyle w:val="ListBullet"/>
      </w:pPr>
      <w:r>
        <w:rPr>
          <w:rFonts w:ascii="Arial" w:hAnsi="Arial"/>
          <w:b/>
          <w:sz w:val="22"/>
        </w:rPr>
        <w:t>Training Logs</w:t>
      </w:r>
      <w:r>
        <w:rPr>
          <w:rFonts w:ascii="Arial" w:hAnsi="Arial"/>
          <w:sz w:val="22"/>
        </w:rPr>
        <w:t>: Complete records of training configuration, data versions, hyperparameters, training process, on-chain verification</w:t>
      </w:r>
    </w:p>
    <w:p>
      <w:pPr>
        <w:pStyle w:val="ListBullet"/>
      </w:pPr>
      <w:r>
        <w:rPr>
          <w:rFonts w:ascii="Arial" w:hAnsi="Arial"/>
          <w:b/>
          <w:sz w:val="22"/>
        </w:rPr>
        <w:t>Independent Audit</w:t>
      </w:r>
      <w:r>
        <w:rPr>
          <w:rFonts w:ascii="Arial" w:hAnsi="Arial"/>
          <w:sz w:val="22"/>
        </w:rPr>
        <w:t>: Models must pass independent third-party security audits before release</w:t>
      </w:r>
    </w:p>
    <w:p>
      <w:r>
        <w:rPr>
          <w:rFonts w:ascii="Arial" w:hAnsi="Arial"/>
          <w:b/>
          <w:sz w:val="22"/>
        </w:rPr>
        <w:t>4. System Architecture Design</w:t>
      </w:r>
    </w:p>
    <w:p>
      <w:r>
        <w:rPr>
          <w:rFonts w:ascii="Arial" w:hAnsi="Arial"/>
          <w:sz w:val="22"/>
        </w:rPr>
        <w:t>Nine modules + Five-layer protection complete technical architecture</w:t>
      </w:r>
    </w:p>
    <w:p>
      <w:r>
        <w:rPr>
          <w:rFonts w:ascii="Arial" w:hAnsi="Arial"/>
          <w:b/>
          <w:sz w:val="22"/>
        </w:rPr>
        <w:t>4.1 Overall Architecture</w:t>
      </w:r>
    </w:p>
    <w:p>
      <w:r>
        <w:rPr>
          <w:rFonts w:ascii="Arial" w:hAnsi="Arial"/>
          <w:b/>
          <w:sz w:val="22"/>
        </w:rPr>
        <w:t>Five-layer Architecture Design</w:t>
      </w:r>
      <w:r>
        <w:rPr>
          <w:rFonts w:ascii="Arial" w:hAnsi="Arial"/>
          <w:sz w:val="22"/>
        </w:rPr>
        <w:t>: Access Layer → Orchestration Layer → Model Service Layer → Data Layer → Infrastructure Layer, each layer independently deployed and scaled</w:t>
      </w:r>
    </w:p>
    <w:p>
      <w:r>
        <w:rPr>
          <w:rFonts w:ascii="Arial" w:hAnsi="Arial"/>
          <w:b/>
          <w:sz w:val="22"/>
        </w:rPr>
        <w:t>Architecture Layer Overview</w:t>
      </w:r>
    </w:p>
    <w:tbl>
      <w:tblPr>
        <w:tblStyle w:val="LightShading-Accent1"/>
        <w:tblW w:type="auto" w:w="0"/>
        <w:tblLook w:firstColumn="1" w:firstRow="1" w:lastColumn="0" w:lastRow="0" w:noHBand="0" w:noVBand="1" w:val="04A0"/>
      </w:tblPr>
      <w:tblGrid>
        <w:gridCol w:w="3120"/>
        <w:gridCol w:w="3120"/>
        <w:gridCol w:w="3120"/>
      </w:tblGrid>
      <w:tr>
        <w:tc>
          <w:tcPr>
            <w:tcW w:type="dxa" w:w="3120"/>
          </w:tcPr>
          <w:p>
            <w:r>
              <w:rPr>
                <w:rFonts w:ascii="Arial" w:hAnsi="Arial"/>
                <w:b/>
                <w:sz w:val="18"/>
              </w:rPr>
              <w:t>Layer</w:t>
            </w:r>
          </w:p>
        </w:tc>
        <w:tc>
          <w:tcPr>
            <w:tcW w:type="dxa" w:w="3120"/>
          </w:tcPr>
          <w:p>
            <w:r>
              <w:rPr>
                <w:rFonts w:ascii="Arial" w:hAnsi="Arial"/>
                <w:b/>
                <w:sz w:val="18"/>
              </w:rPr>
              <w:t>Core Components</w:t>
            </w:r>
          </w:p>
        </w:tc>
        <w:tc>
          <w:tcPr>
            <w:tcW w:type="dxa" w:w="3120"/>
          </w:tcPr>
          <w:p>
            <w:r>
              <w:rPr>
                <w:rFonts w:ascii="Arial" w:hAnsi="Arial"/>
                <w:b/>
                <w:sz w:val="18"/>
              </w:rPr>
              <w:t>Primary Responsibilities</w:t>
            </w:r>
          </w:p>
        </w:tc>
      </w:tr>
      <w:tr>
        <w:tc>
          <w:tcPr>
            <w:tcW w:type="dxa" w:w="3120"/>
          </w:tcPr>
          <w:p>
            <w:r>
              <w:rPr>
                <w:rFonts w:ascii="Arial" w:hAnsi="Arial"/>
                <w:sz w:val="18"/>
              </w:rPr>
              <w:t>Access Layer</w:t>
            </w:r>
          </w:p>
        </w:tc>
        <w:tc>
          <w:tcPr>
            <w:tcW w:type="dxa" w:w="3120"/>
          </w:tcPr>
          <w:p>
            <w:r>
              <w:rPr>
                <w:rFonts w:ascii="Arial" w:hAnsi="Arial"/>
                <w:sz w:val="18"/>
              </w:rPr>
              <w:t>API Gateway, Identity Authentication, Access Control, Rate Limiting &amp; Circuit Breaker</w:t>
            </w:r>
          </w:p>
        </w:tc>
        <w:tc>
          <w:tcPr>
            <w:tcW w:type="dxa" w:w="3120"/>
          </w:tcPr>
          <w:p>
            <w:r>
              <w:rPr>
                <w:rFonts w:ascii="Arial" w:hAnsi="Arial"/>
                <w:sz w:val="18"/>
              </w:rPr>
              <w:t>Unified entry, security authentication, traffic control, request routing</w:t>
            </w:r>
          </w:p>
        </w:tc>
      </w:tr>
      <w:tr>
        <w:tc>
          <w:tcPr>
            <w:tcW w:type="dxa" w:w="3120"/>
          </w:tcPr>
          <w:p>
            <w:r>
              <w:rPr>
                <w:rFonts w:ascii="Arial" w:hAnsi="Arial"/>
                <w:sz w:val="18"/>
              </w:rPr>
              <w:t>Orchestration Layer</w:t>
            </w:r>
          </w:p>
        </w:tc>
        <w:tc>
          <w:tcPr>
            <w:tcW w:type="dxa" w:w="3120"/>
          </w:tcPr>
          <w:p>
            <w:r>
              <w:rPr>
                <w:rFonts w:ascii="Arial" w:hAnsi="Arial"/>
                <w:sz w:val="18"/>
              </w:rPr>
              <w:t>Task Orchestrator, Inference Chain Engine, Multi-model Router, Decision Audit</w:t>
            </w:r>
          </w:p>
        </w:tc>
        <w:tc>
          <w:tcPr>
            <w:tcW w:type="dxa" w:w="3120"/>
          </w:tcPr>
          <w:p>
            <w:r>
              <w:rPr>
                <w:rFonts w:ascii="Arial" w:hAnsi="Arial"/>
                <w:sz w:val="18"/>
              </w:rPr>
              <w:t>Task scheduling, process orchestration, multi-model collaboration, inference chain management</w:t>
            </w:r>
          </w:p>
        </w:tc>
      </w:tr>
      <w:tr>
        <w:tc>
          <w:tcPr>
            <w:tcW w:type="dxa" w:w="3120"/>
          </w:tcPr>
          <w:p>
            <w:r>
              <w:rPr>
                <w:rFonts w:ascii="Arial" w:hAnsi="Arial"/>
                <w:sz w:val="18"/>
              </w:rPr>
              <w:t>Model Service Layer</w:t>
            </w:r>
          </w:p>
        </w:tc>
        <w:tc>
          <w:tcPr>
            <w:tcW w:type="dxa" w:w="3120"/>
          </w:tcPr>
          <w:p>
            <w:r>
              <w:rPr>
                <w:rFonts w:ascii="Arial" w:hAnsi="Arial"/>
                <w:sz w:val="18"/>
              </w:rPr>
              <w:t>Nine Functional Modules, RAG Service, Knowledge Graph, Alignment Service</w:t>
            </w:r>
          </w:p>
        </w:tc>
        <w:tc>
          <w:tcPr>
            <w:tcW w:type="dxa" w:w="3120"/>
          </w:tcPr>
          <w:p>
            <w:r>
              <w:rPr>
                <w:rFonts w:ascii="Arial" w:hAnsi="Arial"/>
                <w:sz w:val="18"/>
              </w:rPr>
              <w:t>Core inference capabilities, knowledge retrieval, value alignment</w:t>
            </w:r>
          </w:p>
        </w:tc>
      </w:tr>
      <w:tr>
        <w:tc>
          <w:tcPr>
            <w:tcW w:type="dxa" w:w="3120"/>
          </w:tcPr>
          <w:p>
            <w:r>
              <w:rPr>
                <w:rFonts w:ascii="Arial" w:hAnsi="Arial"/>
                <w:sz w:val="18"/>
              </w:rPr>
              <w:t>Data Layer</w:t>
            </w:r>
          </w:p>
        </w:tc>
        <w:tc>
          <w:tcPr>
            <w:tcW w:type="dxa" w:w="3120"/>
          </w:tcPr>
          <w:p>
            <w:r>
              <w:rPr>
                <w:rFonts w:ascii="Arial" w:hAnsi="Arial"/>
                <w:sz w:val="18"/>
              </w:rPr>
              <w:t>Vector Database, Graph Database, Relational Database, Blockchain</w:t>
            </w:r>
          </w:p>
        </w:tc>
        <w:tc>
          <w:tcPr>
            <w:tcW w:type="dxa" w:w="3120"/>
          </w:tcPr>
          <w:p>
            <w:r>
              <w:rPr>
                <w:rFonts w:ascii="Arial" w:hAnsi="Arial"/>
                <w:sz w:val="18"/>
              </w:rPr>
              <w:t>Knowledge storage, data persistence, on-chain verification, audit logs</w:t>
            </w:r>
          </w:p>
        </w:tc>
      </w:tr>
      <w:tr>
        <w:tc>
          <w:tcPr>
            <w:tcW w:type="dxa" w:w="3120"/>
          </w:tcPr>
          <w:p>
            <w:r>
              <w:rPr>
                <w:rFonts w:ascii="Arial" w:hAnsi="Arial"/>
                <w:sz w:val="18"/>
              </w:rPr>
              <w:t>Infrastructure Layer</w:t>
            </w:r>
          </w:p>
        </w:tc>
        <w:tc>
          <w:tcPr>
            <w:tcW w:type="dxa" w:w="3120"/>
          </w:tcPr>
          <w:p>
            <w:r>
              <w:rPr>
                <w:rFonts w:ascii="Arial" w:hAnsi="Arial"/>
                <w:sz w:val="18"/>
              </w:rPr>
              <w:t>GPU Cluster, K8s Cluster, Monitoring System, Log System</w:t>
            </w:r>
          </w:p>
        </w:tc>
        <w:tc>
          <w:tcPr>
            <w:tcW w:type="dxa" w:w="3120"/>
          </w:tcPr>
          <w:p>
            <w:r>
              <w:rPr>
                <w:rFonts w:ascii="Arial" w:hAnsi="Arial"/>
                <w:sz w:val="18"/>
              </w:rPr>
              <w:t>Computing resources, container orchestration, observability, operations management</w:t>
            </w:r>
          </w:p>
        </w:tc>
      </w:tr>
    </w:tbl>
    <w:p>
      <w:r>
        <w:rPr>
          <w:rFonts w:ascii="Arial" w:hAnsi="Arial"/>
          <w:b/>
          <w:sz w:val="22"/>
        </w:rPr>
        <w:t>4.2 Nine Functional Modules in Detail</w:t>
      </w:r>
    </w:p>
    <w:p>
      <w:r>
        <w:rPr>
          <w:rFonts w:ascii="Arial" w:hAnsi="Arial"/>
          <w:b/>
          <w:sz w:val="22"/>
        </w:rPr>
        <w:t>4.2.1 Regulatory Enforcement Module</w:t>
      </w:r>
    </w:p>
    <w:p>
      <w:r>
        <w:rPr>
          <w:rFonts w:ascii="Arial" w:hAnsi="Arial"/>
          <w:b/>
          <w:sz w:val="22"/>
        </w:rPr>
        <w:t>Core Responsibility</w:t>
      </w:r>
      <w:r>
        <w:rPr>
          <w:rFonts w:ascii="Arial" w:hAnsi="Arial"/>
          <w:sz w:val="22"/>
        </w:rPr>
        <w:t>: Transform legislatively-approved rules into executable logic applied to specific cases and scenarios</w:t>
      </w:r>
    </w:p>
    <w:p>
      <w:r>
        <w:rPr>
          <w:rFonts w:ascii="Arial" w:hAnsi="Arial"/>
          <w:sz w:val="22"/>
        </w:rPr>
        <w:t>Function List:</w:t>
      </w:r>
    </w:p>
    <w:p>
      <w:pPr>
        <w:pStyle w:val="ListBullet"/>
      </w:pPr>
      <w:r>
        <w:rPr>
          <w:rFonts w:ascii="Arial" w:hAnsi="Arial"/>
          <w:sz w:val="22"/>
        </w:rPr>
        <w:t>Rule Parsing and Encoding: Convert natural language rules into structured executable logic</w:t>
      </w:r>
    </w:p>
    <w:p>
      <w:pPr>
        <w:pStyle w:val="ListBullet"/>
      </w:pPr>
      <w:r>
        <w:rPr>
          <w:rFonts w:ascii="Arial" w:hAnsi="Arial"/>
          <w:sz w:val="22"/>
        </w:rPr>
        <w:t>Rule Matching Engine: Automatically match applicable rules based on case facts</w:t>
      </w:r>
    </w:p>
    <w:p>
      <w:pPr>
        <w:pStyle w:val="ListBullet"/>
      </w:pPr>
      <w:r>
        <w:rPr>
          <w:rFonts w:ascii="Arial" w:hAnsi="Arial"/>
          <w:sz w:val="22"/>
        </w:rPr>
        <w:t>Conflict Detection: Detect conflicts between rules, prompting the legislature for resolution</w:t>
      </w:r>
    </w:p>
    <w:p>
      <w:pPr>
        <w:pStyle w:val="ListBullet"/>
      </w:pPr>
      <w:r>
        <w:rPr>
          <w:rFonts w:ascii="Arial" w:hAnsi="Arial"/>
          <w:sz w:val="22"/>
        </w:rPr>
        <w:t>Inference Chain Generation: Each execution decision includes a complete rule application inference chain</w:t>
      </w:r>
    </w:p>
    <w:p>
      <w:pPr>
        <w:pStyle w:val="ListBullet"/>
      </w:pPr>
      <w:r>
        <w:rPr>
          <w:rFonts w:ascii="Arial" w:hAnsi="Arial"/>
          <w:sz w:val="22"/>
        </w:rPr>
        <w:t>Rule Version Management: Track rule change history to ensure correct version application</w:t>
      </w:r>
    </w:p>
    <w:p>
      <w:r>
        <w:rPr>
          <w:rFonts w:ascii="Arial" w:hAnsi="Arial"/>
          <w:sz w:val="22"/>
        </w:rPr>
        <w:t>Technical Features:</w:t>
      </w:r>
    </w:p>
    <w:p>
      <w:pPr>
        <w:pStyle w:val="ListBullet"/>
      </w:pPr>
      <w:r>
        <w:rPr>
          <w:rFonts w:ascii="Arial" w:hAnsi="Arial"/>
          <w:sz w:val="22"/>
        </w:rPr>
        <w:t>Determinism Priority: Rule execution results must be deterministic and reproducible</w:t>
      </w:r>
    </w:p>
    <w:p>
      <w:pPr>
        <w:pStyle w:val="ListBullet"/>
      </w:pPr>
      <w:r>
        <w:rPr>
          <w:rFonts w:ascii="Arial" w:hAnsi="Arial"/>
          <w:sz w:val="22"/>
        </w:rPr>
        <w:t>Strict Boundaries: No expansive interpretation beyond rule scope</w:t>
      </w:r>
    </w:p>
    <w:p>
      <w:pPr>
        <w:pStyle w:val="ListBullet"/>
      </w:pPr>
      <w:r>
        <w:rPr>
          <w:rFonts w:ascii="Arial" w:hAnsi="Arial"/>
          <w:sz w:val="22"/>
        </w:rPr>
        <w:t>Rule Gap Handling: Automatically escalate to human processing when encountering rule gaps</w:t>
      </w:r>
    </w:p>
    <w:p>
      <w:r>
        <w:rPr>
          <w:rFonts w:ascii="Arial" w:hAnsi="Arial"/>
          <w:b/>
          <w:sz w:val="22"/>
        </w:rPr>
        <w:t>4.2.2 Judicial Assistance Module (Most Complex)</w:t>
      </w:r>
    </w:p>
    <w:p>
      <w:r>
        <w:rPr>
          <w:rFonts w:ascii="Arial" w:hAnsi="Arial"/>
          <w:b/>
          <w:sz w:val="22"/>
        </w:rPr>
        <w:t>Core Responsibility</w:t>
      </w:r>
      <w:r>
        <w:rPr>
          <w:rFonts w:ascii="Arial" w:hAnsi="Arial"/>
          <w:sz w:val="22"/>
        </w:rPr>
        <w:t>: Evidence collection, ruling recommendation generation, jury process management</w:t>
      </w:r>
    </w:p>
    <w:p>
      <w:r>
        <w:rPr>
          <w:rFonts w:ascii="Arial" w:hAnsi="Arial"/>
          <w:sz w:val="22"/>
        </w:rPr>
        <w:t>Three Core Subsystems:</w:t>
      </w:r>
    </w:p>
    <w:tbl>
      <w:tblPr>
        <w:tblStyle w:val="LightShading-Accent1"/>
        <w:tblW w:type="auto" w:w="0"/>
        <w:tblLook w:firstColumn="1" w:firstRow="1" w:lastColumn="0" w:lastRow="0" w:noHBand="0" w:noVBand="1" w:val="04A0"/>
      </w:tblPr>
      <w:tblGrid>
        <w:gridCol w:w="3120"/>
        <w:gridCol w:w="3120"/>
        <w:gridCol w:w="3120"/>
      </w:tblGrid>
      <w:tr>
        <w:tc>
          <w:tcPr>
            <w:tcW w:type="dxa" w:w="3120"/>
          </w:tcPr>
          <w:p>
            <w:r>
              <w:rPr>
                <w:rFonts w:ascii="Arial" w:hAnsi="Arial"/>
                <w:b/>
                <w:sz w:val="18"/>
              </w:rPr>
              <w:t>Evidence Collection Engine</w:t>
            </w:r>
          </w:p>
        </w:tc>
        <w:tc>
          <w:tcPr>
            <w:tcW w:type="dxa" w:w="3120"/>
          </w:tcPr>
          <w:p>
            <w:r>
              <w:rPr>
                <w:rFonts w:ascii="Arial" w:hAnsi="Arial"/>
                <w:b/>
                <w:sz w:val="18"/>
              </w:rPr>
              <w:t>Ruling Inference Engine</w:t>
            </w:r>
          </w:p>
        </w:tc>
        <w:tc>
          <w:tcPr>
            <w:tcW w:type="dxa" w:w="3120"/>
          </w:tcPr>
          <w:p>
            <w:r>
              <w:rPr>
                <w:rFonts w:ascii="Arial" w:hAnsi="Arial"/>
                <w:b/>
                <w:sz w:val="18"/>
              </w:rPr>
              <w:t>Random Jury System</w:t>
            </w:r>
          </w:p>
        </w:tc>
      </w:tr>
      <w:tr>
        <w:tc>
          <w:tcPr>
            <w:tcW w:type="dxa" w:w="3120"/>
          </w:tcPr>
          <w:p>
            <w:r>
              <w:rPr>
                <w:rFonts w:ascii="Arial" w:hAnsi="Arial"/>
                <w:sz w:val="18"/>
              </w:rPr>
              <w:t>- On-chain digital evidence verification</w:t>
            </w:r>
          </w:p>
        </w:tc>
        <w:tc>
          <w:tcPr>
            <w:tcW w:type="dxa" w:w="3120"/>
          </w:tcPr>
          <w:p>
            <w:r>
              <w:rPr>
                <w:rFonts w:ascii="Arial" w:hAnsi="Arial"/>
                <w:sz w:val="18"/>
              </w:rPr>
              <w:t>- Legal knowledge graph retrieval</w:t>
            </w:r>
          </w:p>
        </w:tc>
        <w:tc>
          <w:tcPr>
            <w:tcW w:type="dxa" w:w="3120"/>
          </w:tcPr>
          <w:p>
            <w:r>
              <w:rPr>
                <w:rFonts w:ascii="Arial" w:hAnsi="Arial"/>
                <w:sz w:val="18"/>
              </w:rPr>
              <w:t>- Verifiable random selection</w:t>
            </w:r>
          </w:p>
        </w:tc>
      </w:tr>
      <w:tr>
        <w:tc>
          <w:tcPr>
            <w:tcW w:type="dxa" w:w="3120"/>
          </w:tcPr>
          <w:p>
            <w:r>
              <w:rPr>
                <w:rFonts w:ascii="Arial" w:hAnsi="Arial"/>
                <w:sz w:val="18"/>
              </w:rPr>
              <w:t>- Video timeline analysis</w:t>
            </w:r>
          </w:p>
        </w:tc>
        <w:tc>
          <w:tcPr>
            <w:tcW w:type="dxa" w:w="3120"/>
          </w:tcPr>
          <w:p>
            <w:r>
              <w:rPr>
                <w:rFonts w:ascii="Arial" w:hAnsi="Arial"/>
                <w:sz w:val="18"/>
              </w:rPr>
              <w:t>- Precedent consistency verification</w:t>
            </w:r>
          </w:p>
        </w:tc>
        <w:tc>
          <w:tcPr>
            <w:tcW w:type="dxa" w:w="3120"/>
          </w:tcPr>
          <w:p>
            <w:r>
              <w:rPr>
                <w:rFonts w:ascii="Arial" w:hAnsi="Arial"/>
                <w:sz w:val="18"/>
              </w:rPr>
              <w:t>- Automatic conflict of interest filtering</w:t>
            </w:r>
          </w:p>
        </w:tc>
      </w:tr>
      <w:tr>
        <w:tc>
          <w:tcPr>
            <w:tcW w:type="dxa" w:w="3120"/>
          </w:tcPr>
          <w:p>
            <w:r>
              <w:rPr>
                <w:rFonts w:ascii="Arial" w:hAnsi="Arial"/>
                <w:sz w:val="18"/>
              </w:rPr>
              <w:t>- Behavioral pattern recognition</w:t>
            </w:r>
          </w:p>
        </w:tc>
        <w:tc>
          <w:tcPr>
            <w:tcW w:type="dxa" w:w="3120"/>
          </w:tcPr>
          <w:p>
            <w:r>
              <w:rPr>
                <w:rFonts w:ascii="Arial" w:hAnsi="Arial"/>
                <w:sz w:val="18"/>
              </w:rPr>
              <w:t>- Ethical weight model</w:t>
            </w:r>
          </w:p>
        </w:tc>
        <w:tc>
          <w:tcPr>
            <w:tcW w:type="dxa" w:w="3120"/>
          </w:tcPr>
          <w:p>
            <w:r>
              <w:rPr>
                <w:rFonts w:ascii="Arial" w:hAnsi="Arial"/>
                <w:sz w:val="18"/>
              </w:rPr>
              <w:t>- Anonymous voting protocol</w:t>
            </w:r>
          </w:p>
        </w:tc>
      </w:tr>
      <w:tr>
        <w:tc>
          <w:tcPr>
            <w:tcW w:type="dxa" w:w="3120"/>
          </w:tcPr>
          <w:p>
            <w:r>
              <w:rPr>
                <w:rFonts w:ascii="Arial" w:hAnsi="Arial"/>
                <w:sz w:val="18"/>
              </w:rPr>
              <w:t>- Multi-source data cross-verification</w:t>
            </w:r>
          </w:p>
        </w:tc>
        <w:tc>
          <w:tcPr>
            <w:tcW w:type="dxa" w:w="3120"/>
          </w:tcPr>
          <w:p>
            <w:r>
              <w:rPr>
                <w:rFonts w:ascii="Arial" w:hAnsi="Arial"/>
                <w:sz w:val="18"/>
              </w:rPr>
              <w:t>- Explainable inference chain generation</w:t>
            </w:r>
          </w:p>
        </w:tc>
        <w:tc>
          <w:tcPr>
            <w:tcW w:type="dxa" w:w="3120"/>
          </w:tcPr>
          <w:p>
            <w:r>
              <w:rPr>
                <w:rFonts w:ascii="Arial" w:hAnsi="Arial"/>
                <w:sz w:val="18"/>
              </w:rPr>
              <w:t>- Isolated deliberation mechanism</w:t>
            </w:r>
          </w:p>
        </w:tc>
      </w:tr>
      <w:tr>
        <w:tc>
          <w:tcPr>
            <w:tcW w:type="dxa" w:w="3120"/>
          </w:tcPr>
          <w:p>
            <w:r>
              <w:rPr>
                <w:rFonts w:ascii="Arial" w:hAnsi="Arial"/>
                <w:sz w:val="18"/>
              </w:rPr>
              <w:t>- Evidence hash storage, tamper-proof</w:t>
            </w:r>
          </w:p>
        </w:tc>
        <w:tc>
          <w:tcPr>
            <w:tcW w:type="dxa" w:w="3120"/>
          </w:tcPr>
          <w:p>
            <w:r>
              <w:rPr>
                <w:rFonts w:ascii="Arial" w:hAnsi="Arial"/>
                <w:sz w:val="18"/>
              </w:rPr>
              <w:t>- Confidence scoring and uncertainty annotation</w:t>
            </w:r>
          </w:p>
        </w:tc>
        <w:tc>
          <w:tcPr>
            <w:tcW w:type="dxa" w:w="3120"/>
          </w:tcPr>
          <w:p>
            <w:r>
              <w:rPr>
                <w:rFonts w:ascii="Arial" w:hAnsi="Arial"/>
                <w:sz w:val="18"/>
              </w:rPr>
              <w:t>- Disagreement triggers review procedure</w:t>
            </w:r>
          </w:p>
        </w:tc>
      </w:tr>
    </w:tbl>
    <w:p>
      <w:r>
        <w:rPr>
          <w:rFonts w:ascii="Arial" w:hAnsi="Arial"/>
          <w:sz w:val="22"/>
        </w:rPr>
        <w:t>Four Categories of Case Tiered Processing:</w:t>
      </w:r>
    </w:p>
    <w:tbl>
      <w:tblPr>
        <w:tblStyle w:val="LightShading-Accent1"/>
        <w:tblW w:type="auto" w:w="0"/>
        <w:tblLook w:firstColumn="1" w:firstRow="1" w:lastColumn="0" w:lastRow="0" w:noHBand="0" w:noVBand="1" w:val="04A0"/>
      </w:tblPr>
      <w:tblGrid>
        <w:gridCol w:w="2340"/>
        <w:gridCol w:w="2340"/>
        <w:gridCol w:w="2340"/>
        <w:gridCol w:w="2340"/>
      </w:tblGrid>
      <w:tr>
        <w:tc>
          <w:tcPr>
            <w:tcW w:type="dxa" w:w="2340"/>
          </w:tcPr>
          <w:p>
            <w:r>
              <w:rPr>
                <w:rFonts w:ascii="Arial" w:hAnsi="Arial"/>
                <w:b/>
                <w:sz w:val="18"/>
              </w:rPr>
              <w:t>Case Type</w:t>
            </w:r>
          </w:p>
        </w:tc>
        <w:tc>
          <w:tcPr>
            <w:tcW w:type="dxa" w:w="2340"/>
          </w:tcPr>
          <w:p>
            <w:r>
              <w:rPr>
                <w:rFonts w:ascii="Arial" w:hAnsi="Arial"/>
                <w:b/>
                <w:sz w:val="18"/>
              </w:rPr>
              <w:t>AI Involvement Depth</w:t>
            </w:r>
          </w:p>
        </w:tc>
        <w:tc>
          <w:tcPr>
            <w:tcW w:type="dxa" w:w="2340"/>
          </w:tcPr>
          <w:p>
            <w:r>
              <w:rPr>
                <w:rFonts w:ascii="Arial" w:hAnsi="Arial"/>
                <w:b/>
                <w:sz w:val="18"/>
              </w:rPr>
              <w:t>Human Role</w:t>
            </w:r>
          </w:p>
        </w:tc>
        <w:tc>
          <w:tcPr>
            <w:tcW w:type="dxa" w:w="2340"/>
          </w:tcPr>
          <w:p>
            <w:r>
              <w:rPr>
                <w:rFonts w:ascii="Arial" w:hAnsi="Arial"/>
                <w:b/>
                <w:sz w:val="18"/>
              </w:rPr>
              <w:t>Applicable Scenarios</w:t>
            </w:r>
          </w:p>
        </w:tc>
      </w:tr>
      <w:tr>
        <w:tc>
          <w:tcPr>
            <w:tcW w:type="dxa" w:w="2340"/>
          </w:tcPr>
          <w:p>
            <w:r>
              <w:rPr>
                <w:rFonts w:ascii="Arial" w:hAnsi="Arial"/>
                <w:sz w:val="18"/>
              </w:rPr>
              <w:t>Category 1</w:t>
            </w:r>
          </w:p>
        </w:tc>
        <w:tc>
          <w:tcPr>
            <w:tcW w:type="dxa" w:w="2340"/>
          </w:tcPr>
          <w:p>
            <w:r>
              <w:rPr>
                <w:rFonts w:ascii="Arial" w:hAnsi="Arial"/>
                <w:sz w:val="18"/>
              </w:rPr>
              <w:t>AI fully automated ruling</w:t>
            </w:r>
          </w:p>
        </w:tc>
        <w:tc>
          <w:tcPr>
            <w:tcW w:type="dxa" w:w="2340"/>
          </w:tcPr>
          <w:p>
            <w:r>
              <w:rPr>
                <w:rFonts w:ascii="Arial" w:hAnsi="Arial"/>
                <w:sz w:val="18"/>
              </w:rPr>
              <w:t>Appealable</w:t>
            </w:r>
          </w:p>
        </w:tc>
        <w:tc>
          <w:tcPr>
            <w:tcW w:type="dxa" w:w="2340"/>
          </w:tcPr>
          <w:p>
            <w:r>
              <w:rPr>
                <w:rFonts w:ascii="Arial" w:hAnsi="Arial"/>
                <w:sz w:val="18"/>
              </w:rPr>
              <w:t>Small civil disputes, clear facts, minimal controversy</w:t>
            </w:r>
          </w:p>
        </w:tc>
      </w:tr>
      <w:tr>
        <w:tc>
          <w:tcPr>
            <w:tcW w:type="dxa" w:w="2340"/>
          </w:tcPr>
          <w:p>
            <w:r>
              <w:rPr>
                <w:rFonts w:ascii="Arial" w:hAnsi="Arial"/>
                <w:sz w:val="18"/>
              </w:rPr>
              <w:t>Category 2</w:t>
            </w:r>
          </w:p>
        </w:tc>
        <w:tc>
          <w:tcPr>
            <w:tcW w:type="dxa" w:w="2340"/>
          </w:tcPr>
          <w:p>
            <w:r>
              <w:rPr>
                <w:rFonts w:ascii="Arial" w:hAnsi="Arial"/>
                <w:sz w:val="18"/>
              </w:rPr>
              <w:t>AI assistance + Jury</w:t>
            </w:r>
          </w:p>
        </w:tc>
        <w:tc>
          <w:tcPr>
            <w:tcW w:type="dxa" w:w="2340"/>
          </w:tcPr>
          <w:p>
            <w:r>
              <w:rPr>
                <w:rFonts w:ascii="Arial" w:hAnsi="Arial"/>
                <w:sz w:val="18"/>
              </w:rPr>
              <w:t>Jury confirmation</w:t>
            </w:r>
          </w:p>
        </w:tc>
        <w:tc>
          <w:tcPr>
            <w:tcW w:type="dxa" w:w="2340"/>
          </w:tcPr>
          <w:p>
            <w:r>
              <w:rPr>
                <w:rFonts w:ascii="Arial" w:hAnsi="Arial"/>
                <w:sz w:val="18"/>
              </w:rPr>
              <w:t>Commercial disputes, labor disputes, ordinary civil matters</w:t>
            </w:r>
          </w:p>
        </w:tc>
      </w:tr>
      <w:tr>
        <w:tc>
          <w:tcPr>
            <w:tcW w:type="dxa" w:w="2340"/>
          </w:tcPr>
          <w:p>
            <w:r>
              <w:rPr>
                <w:rFonts w:ascii="Arial" w:hAnsi="Arial"/>
                <w:sz w:val="18"/>
              </w:rPr>
              <w:t>Category 3</w:t>
            </w:r>
          </w:p>
        </w:tc>
        <w:tc>
          <w:tcPr>
            <w:tcW w:type="dxa" w:w="2340"/>
          </w:tcPr>
          <w:p>
            <w:r>
              <w:rPr>
                <w:rFonts w:ascii="Arial" w:hAnsi="Arial"/>
                <w:sz w:val="18"/>
              </w:rPr>
              <w:t>AI evidence chain + Human judge</w:t>
            </w:r>
          </w:p>
        </w:tc>
        <w:tc>
          <w:tcPr>
            <w:tcW w:type="dxa" w:w="2340"/>
          </w:tcPr>
          <w:p>
            <w:r>
              <w:rPr>
                <w:rFonts w:ascii="Arial" w:hAnsi="Arial"/>
                <w:sz w:val="18"/>
              </w:rPr>
              <w:t>Judge substantive hearing</w:t>
            </w:r>
          </w:p>
        </w:tc>
        <w:tc>
          <w:tcPr>
            <w:tcW w:type="dxa" w:w="2340"/>
          </w:tcPr>
          <w:p>
            <w:r>
              <w:rPr>
                <w:rFonts w:ascii="Arial" w:hAnsi="Arial"/>
                <w:sz w:val="18"/>
              </w:rPr>
              <w:t>Major civil cases, complex commercial matters, administrative litigation</w:t>
            </w:r>
          </w:p>
        </w:tc>
      </w:tr>
      <w:tr>
        <w:tc>
          <w:tcPr>
            <w:tcW w:type="dxa" w:w="2340"/>
          </w:tcPr>
          <w:p>
            <w:r>
              <w:rPr>
                <w:rFonts w:ascii="Arial" w:hAnsi="Arial"/>
                <w:sz w:val="18"/>
              </w:rPr>
              <w:t>Category 4</w:t>
            </w:r>
          </w:p>
        </w:tc>
        <w:tc>
          <w:tcPr>
            <w:tcW w:type="dxa" w:w="2340"/>
          </w:tcPr>
          <w:p>
            <w:r>
              <w:rPr>
                <w:rFonts w:ascii="Arial" w:hAnsi="Arial"/>
                <w:sz w:val="18"/>
              </w:rPr>
              <w:t>AI only for evidence chain</w:t>
            </w:r>
          </w:p>
        </w:tc>
        <w:tc>
          <w:tcPr>
            <w:tcW w:type="dxa" w:w="2340"/>
          </w:tcPr>
          <w:p>
            <w:r>
              <w:rPr>
                <w:rFonts w:ascii="Arial" w:hAnsi="Arial"/>
                <w:sz w:val="18"/>
              </w:rPr>
              <w:t>Human judge + Jury</w:t>
            </w:r>
          </w:p>
        </w:tc>
        <w:tc>
          <w:tcPr>
            <w:tcW w:type="dxa" w:w="2340"/>
          </w:tcPr>
          <w:p>
            <w:r>
              <w:rPr>
                <w:rFonts w:ascii="Arial" w:hAnsi="Arial"/>
                <w:sz w:val="18"/>
              </w:rPr>
              <w:t>Criminal cases, involving personal liberty</w:t>
            </w:r>
          </w:p>
        </w:tc>
      </w:tr>
    </w:tbl>
    <w:p>
      <w:r>
        <w:rPr>
          <w:rFonts w:ascii="Arial" w:hAnsi="Arial"/>
          <w:b/>
          <w:sz w:val="22"/>
        </w:rPr>
        <w:t>4.2.3 Fiscal Management Module</w:t>
      </w:r>
    </w:p>
    <w:p>
      <w:r>
        <w:rPr>
          <w:rFonts w:ascii="Arial" w:hAnsi="Arial"/>
          <w:b/>
          <w:sz w:val="22"/>
        </w:rPr>
        <w:t>Core Responsibility</w:t>
      </w:r>
      <w:r>
        <w:rPr>
          <w:rFonts w:ascii="Arial" w:hAnsi="Arial"/>
          <w:sz w:val="22"/>
        </w:rPr>
        <w:t>: Automatically execute budget allocation, fund transfer, revenue collection, real-time on-chain recording</w:t>
      </w:r>
    </w:p>
    <w:p>
      <w:r>
        <w:rPr>
          <w:rFonts w:ascii="Arial" w:hAnsi="Arial"/>
          <w:sz w:val="22"/>
        </w:rPr>
        <w:t>Function List:</w:t>
      </w:r>
    </w:p>
    <w:p>
      <w:pPr>
        <w:pStyle w:val="ListBullet"/>
      </w:pPr>
      <w:r>
        <w:rPr>
          <w:rFonts w:ascii="Arial" w:hAnsi="Arial"/>
          <w:sz w:val="22"/>
        </w:rPr>
        <w:t>Budget Execution: Automatically execute expenditures according to approved budget</w:t>
      </w:r>
    </w:p>
    <w:p>
      <w:pPr>
        <w:pStyle w:val="ListBullet"/>
      </w:pPr>
      <w:r>
        <w:rPr>
          <w:rFonts w:ascii="Arial" w:hAnsi="Arial"/>
          <w:sz w:val="22"/>
        </w:rPr>
        <w:t>On-chain Accounting: Each fiscal transaction in real-time on-chain, publicly viewable</w:t>
      </w:r>
    </w:p>
    <w:p>
      <w:pPr>
        <w:pStyle w:val="ListBullet"/>
      </w:pPr>
      <w:r>
        <w:rPr>
          <w:rFonts w:ascii="Arial" w:hAnsi="Arial"/>
          <w:sz w:val="22"/>
        </w:rPr>
        <w:t>Revenue Collection: Automatic collection of fiscal revenues such as taxes and fees</w:t>
      </w:r>
    </w:p>
    <w:p>
      <w:pPr>
        <w:pStyle w:val="ListBullet"/>
      </w:pPr>
      <w:r>
        <w:rPr>
          <w:rFonts w:ascii="Arial" w:hAnsi="Arial"/>
          <w:sz w:val="22"/>
        </w:rPr>
        <w:t>Fiscal Reports: Automatically generate daily/weekly/monthly/quarterly/annual fiscal reports</w:t>
      </w:r>
    </w:p>
    <w:p>
      <w:pPr>
        <w:pStyle w:val="ListBullet"/>
      </w:pPr>
      <w:r>
        <w:rPr>
          <w:rFonts w:ascii="Arial" w:hAnsi="Arial"/>
          <w:sz w:val="22"/>
        </w:rPr>
        <w:t>Anomaly Monitoring: Monitor abnormal spending patterns, automatic alerts</w:t>
      </w:r>
    </w:p>
    <w:p>
      <w:pPr>
        <w:pStyle w:val="ListBullet"/>
      </w:pPr>
      <w:r>
        <w:rPr>
          <w:rFonts w:ascii="Arial" w:hAnsi="Arial"/>
          <w:sz w:val="22"/>
        </w:rPr>
        <w:t>UBI Distribution: Automatically distribute Universal Basic Income according to rules</w:t>
      </w:r>
    </w:p>
    <w:p>
      <w:pPr>
        <w:pStyle w:val="ListBullet"/>
      </w:pPr>
      <w:r>
        <w:rPr>
          <w:rFonts w:ascii="Arial" w:hAnsi="Arial"/>
          <w:sz w:val="22"/>
        </w:rPr>
        <w:t>Digital Equity Dividends: Automatically calculate and distribute dividends according to rules</w:t>
      </w:r>
    </w:p>
    <w:p>
      <w:r>
        <w:rPr>
          <w:rFonts w:ascii="Arial" w:hAnsi="Arial"/>
          <w:b/>
          <w:sz w:val="22"/>
        </w:rPr>
        <w:t>4.2.4 Administrative Approval Module</w:t>
      </w:r>
    </w:p>
    <w:p>
      <w:r>
        <w:rPr>
          <w:rFonts w:ascii="Arial" w:hAnsi="Arial"/>
          <w:b/>
          <w:sz w:val="22"/>
        </w:rPr>
        <w:t>Core Responsibility</w:t>
      </w:r>
      <w:r>
        <w:rPr>
          <w:rFonts w:ascii="Arial" w:hAnsi="Arial"/>
          <w:sz w:val="22"/>
        </w:rPr>
        <w:t>: Automatically process various administrative permits and approval applications</w:t>
      </w:r>
    </w:p>
    <w:p>
      <w:r>
        <w:rPr>
          <w:rFonts w:ascii="Arial" w:hAnsi="Arial"/>
          <w:sz w:val="22"/>
        </w:rPr>
        <w:t>Function List:</w:t>
      </w:r>
    </w:p>
    <w:p>
      <w:pPr>
        <w:pStyle w:val="ListBullet"/>
      </w:pPr>
      <w:r>
        <w:rPr>
          <w:rFonts w:ascii="Arial" w:hAnsi="Arial"/>
          <w:sz w:val="22"/>
        </w:rPr>
        <w:t>Automatic Document Review: Check if application materials are complete and meet requirements</w:t>
      </w:r>
    </w:p>
    <w:p>
      <w:pPr>
        <w:pStyle w:val="ListBullet"/>
      </w:pPr>
      <w:r>
        <w:rPr>
          <w:rFonts w:ascii="Arial" w:hAnsi="Arial"/>
          <w:sz w:val="22"/>
        </w:rPr>
        <w:t>Automatic Rule Matching: Automatically match approval rules based on application type</w:t>
      </w:r>
    </w:p>
    <w:p>
      <w:pPr>
        <w:pStyle w:val="ListBullet"/>
      </w:pPr>
      <w:r>
        <w:rPr>
          <w:rFonts w:ascii="Arial" w:hAnsi="Arial"/>
          <w:sz w:val="22"/>
        </w:rPr>
        <w:t>Automatic Approval: Automatically approve qualified applications</w:t>
      </w:r>
    </w:p>
    <w:p>
      <w:pPr>
        <w:pStyle w:val="ListBullet"/>
      </w:pPr>
      <w:r>
        <w:rPr>
          <w:rFonts w:ascii="Arial" w:hAnsi="Arial"/>
          <w:sz w:val="22"/>
        </w:rPr>
        <w:t>Intelligent Correction: Automatically inform applicants of required corrections when materials are incomplete</w:t>
      </w:r>
    </w:p>
    <w:p>
      <w:pPr>
        <w:pStyle w:val="ListBullet"/>
      </w:pPr>
      <w:r>
        <w:rPr>
          <w:rFonts w:ascii="Arial" w:hAnsi="Arial"/>
          <w:sz w:val="22"/>
        </w:rPr>
        <w:t>Human Handoff: Applications not matching any existing rules are transferred to human processing</w:t>
      </w:r>
    </w:p>
    <w:p>
      <w:pPr>
        <w:pStyle w:val="ListBullet"/>
      </w:pPr>
      <w:r>
        <w:rPr>
          <w:rFonts w:ascii="Arial" w:hAnsi="Arial"/>
          <w:sz w:val="22"/>
        </w:rPr>
        <w:t>Progress Tracking: Applicants can query approval progress in real-time</w:t>
      </w:r>
    </w:p>
    <w:p>
      <w:r>
        <w:rPr>
          <w:rFonts w:ascii="Arial" w:hAnsi="Arial"/>
          <w:b/>
          <w:sz w:val="22"/>
        </w:rPr>
        <w:t>4.2.5 Risk Early Warning Module</w:t>
      </w:r>
    </w:p>
    <w:p>
      <w:r>
        <w:rPr>
          <w:rFonts w:ascii="Arial" w:hAnsi="Arial"/>
          <w:b/>
          <w:sz w:val="22"/>
        </w:rPr>
        <w:t>Core Responsibility</w:t>
      </w:r>
      <w:r>
        <w:rPr>
          <w:rFonts w:ascii="Arial" w:hAnsi="Arial"/>
          <w:sz w:val="22"/>
        </w:rPr>
        <w:t>: Monitor social stability risks, economic anomalies, security threats, early warning</w:t>
      </w:r>
    </w:p>
    <w:p>
      <w:r>
        <w:rPr>
          <w:rFonts w:ascii="Arial" w:hAnsi="Arial"/>
          <w:sz w:val="22"/>
        </w:rPr>
        <w:t>Monitoring Dimensions:</w:t>
      </w:r>
    </w:p>
    <w:p>
      <w:pPr>
        <w:pStyle w:val="ListBullet"/>
      </w:pPr>
      <w:r>
        <w:rPr>
          <w:rFonts w:ascii="Arial" w:hAnsi="Arial"/>
          <w:sz w:val="22"/>
        </w:rPr>
        <w:t>Social Stability Risks: Public opinion monitoring, mass incident early warning, conflict aggregation detection</w:t>
      </w:r>
    </w:p>
    <w:p>
      <w:pPr>
        <w:pStyle w:val="ListBullet"/>
      </w:pPr>
      <w:r>
        <w:rPr>
          <w:rFonts w:ascii="Arial" w:hAnsi="Arial"/>
          <w:sz w:val="22"/>
        </w:rPr>
        <w:t>Economic Risks: Financial anomalies, unemployment risk, inflation monitoring, debt risk</w:t>
      </w:r>
    </w:p>
    <w:p>
      <w:pPr>
        <w:pStyle w:val="ListBullet"/>
      </w:pPr>
      <w:r>
        <w:rPr>
          <w:rFonts w:ascii="Arial" w:hAnsi="Arial"/>
          <w:sz w:val="22"/>
        </w:rPr>
        <w:t>Public Safety Risks: Public health, natural disasters, accident disaster early warning</w:t>
      </w:r>
    </w:p>
    <w:p>
      <w:pPr>
        <w:pStyle w:val="ListBullet"/>
      </w:pPr>
      <w:r>
        <w:rPr>
          <w:rFonts w:ascii="Arial" w:hAnsi="Arial"/>
          <w:sz w:val="22"/>
        </w:rPr>
        <w:t>System Self Risks: AI system anomalies, data anomalies, attack detection</w:t>
      </w:r>
    </w:p>
    <w:p>
      <w:r>
        <w:rPr>
          <w:rFonts w:ascii="Arial" w:hAnsi="Arial"/>
          <w:sz w:val="22"/>
        </w:rPr>
        <w:t>Risk Tiered Response:</w:t>
      </w:r>
    </w:p>
    <w:tbl>
      <w:tblPr>
        <w:tblStyle w:val="LightShading-Accent1"/>
        <w:tblW w:type="auto" w:w="0"/>
        <w:tblLook w:firstColumn="1" w:firstRow="1" w:lastColumn="0" w:lastRow="0" w:noHBand="0" w:noVBand="1" w:val="04A0"/>
      </w:tblPr>
      <w:tblGrid>
        <w:gridCol w:w="2340"/>
        <w:gridCol w:w="2340"/>
        <w:gridCol w:w="2340"/>
        <w:gridCol w:w="2340"/>
      </w:tblGrid>
      <w:tr>
        <w:tc>
          <w:tcPr>
            <w:tcW w:type="dxa" w:w="2340"/>
          </w:tcPr>
          <w:p>
            <w:r>
              <w:rPr>
                <w:rFonts w:ascii="Arial" w:hAnsi="Arial"/>
                <w:b/>
                <w:sz w:val="18"/>
              </w:rPr>
              <w:t>Level</w:t>
            </w:r>
          </w:p>
        </w:tc>
        <w:tc>
          <w:tcPr>
            <w:tcW w:type="dxa" w:w="2340"/>
          </w:tcPr>
          <w:p>
            <w:r>
              <w:rPr>
                <w:rFonts w:ascii="Arial" w:hAnsi="Arial"/>
                <w:b/>
                <w:sz w:val="18"/>
              </w:rPr>
              <w:t>Name</w:t>
            </w:r>
          </w:p>
        </w:tc>
        <w:tc>
          <w:tcPr>
            <w:tcW w:type="dxa" w:w="2340"/>
          </w:tcPr>
          <w:p>
            <w:r>
              <w:rPr>
                <w:rFonts w:ascii="Arial" w:hAnsi="Arial"/>
                <w:b/>
                <w:sz w:val="18"/>
              </w:rPr>
              <w:t>Response Method</w:t>
            </w:r>
          </w:p>
        </w:tc>
        <w:tc>
          <w:tcPr>
            <w:tcW w:type="dxa" w:w="2340"/>
          </w:tcPr>
          <w:p>
            <w:r>
              <w:rPr>
                <w:rFonts w:ascii="Arial" w:hAnsi="Arial"/>
                <w:b/>
                <w:sz w:val="18"/>
              </w:rPr>
              <w:t>Description</w:t>
            </w:r>
          </w:p>
        </w:tc>
      </w:tr>
      <w:tr>
        <w:tc>
          <w:tcPr>
            <w:tcW w:type="dxa" w:w="2340"/>
          </w:tcPr>
          <w:p>
            <w:r>
              <w:rPr>
                <w:rFonts w:ascii="Arial" w:hAnsi="Arial"/>
                <w:sz w:val="18"/>
              </w:rPr>
              <w:t>Level 1</w:t>
            </w:r>
          </w:p>
        </w:tc>
        <w:tc>
          <w:tcPr>
            <w:tcW w:type="dxa" w:w="2340"/>
          </w:tcPr>
          <w:p>
            <w:r>
              <w:rPr>
                <w:rFonts w:ascii="Arial" w:hAnsi="Arial"/>
                <w:sz w:val="18"/>
              </w:rPr>
              <w:t>Anomaly</w:t>
            </w:r>
          </w:p>
        </w:tc>
        <w:tc>
          <w:tcPr>
            <w:tcW w:type="dxa" w:w="2340"/>
          </w:tcPr>
          <w:p>
            <w:r>
              <w:rPr>
                <w:rFonts w:ascii="Arial" w:hAnsi="Arial"/>
                <w:sz w:val="18"/>
              </w:rPr>
              <w:t>AI automatic correction</w:t>
            </w:r>
          </w:p>
        </w:tc>
        <w:tc>
          <w:tcPr>
            <w:tcW w:type="dxa" w:w="2340"/>
          </w:tcPr>
          <w:p>
            <w:r>
              <w:rPr>
                <w:rFonts w:ascii="Arial" w:hAnsi="Arial"/>
                <w:sz w:val="18"/>
              </w:rPr>
              <w:t>Routine anomalies, system auto-processes, logs recorded</w:t>
            </w:r>
          </w:p>
        </w:tc>
      </w:tr>
      <w:tr>
        <w:tc>
          <w:tcPr>
            <w:tcW w:type="dxa" w:w="2340"/>
          </w:tcPr>
          <w:p>
            <w:r>
              <w:rPr>
                <w:rFonts w:ascii="Arial" w:hAnsi="Arial"/>
                <w:sz w:val="18"/>
              </w:rPr>
              <w:t>Level 2</w:t>
            </w:r>
          </w:p>
        </w:tc>
        <w:tc>
          <w:tcPr>
            <w:tcW w:type="dxa" w:w="2340"/>
          </w:tcPr>
          <w:p>
            <w:r>
              <w:rPr>
                <w:rFonts w:ascii="Arial" w:hAnsi="Arial"/>
                <w:sz w:val="18"/>
              </w:rPr>
              <w:t>Warning</w:t>
            </w:r>
          </w:p>
        </w:tc>
        <w:tc>
          <w:tcPr>
            <w:tcW w:type="dxa" w:w="2340"/>
          </w:tcPr>
          <w:p>
            <w:r>
              <w:rPr>
                <w:rFonts w:ascii="Arial" w:hAnsi="Arial"/>
                <w:sz w:val="18"/>
              </w:rPr>
              <w:t>Elder Council intervention</w:t>
            </w:r>
          </w:p>
        </w:tc>
        <w:tc>
          <w:tcPr>
            <w:tcW w:type="dxa" w:w="2340"/>
          </w:tcPr>
          <w:p>
            <w:r>
              <w:rPr>
                <w:rFonts w:ascii="Arial" w:hAnsi="Arial"/>
                <w:sz w:val="18"/>
              </w:rPr>
              <w:t>Requires human attention, response within 48 hours, publicly disclosed</w:t>
            </w:r>
          </w:p>
        </w:tc>
      </w:tr>
      <w:tr>
        <w:tc>
          <w:tcPr>
            <w:tcW w:type="dxa" w:w="2340"/>
          </w:tcPr>
          <w:p>
            <w:r>
              <w:rPr>
                <w:rFonts w:ascii="Arial" w:hAnsi="Arial"/>
                <w:sz w:val="18"/>
              </w:rPr>
              <w:t>Level 3</w:t>
            </w:r>
          </w:p>
        </w:tc>
        <w:tc>
          <w:tcPr>
            <w:tcW w:type="dxa" w:w="2340"/>
          </w:tcPr>
          <w:p>
            <w:r>
              <w:rPr>
                <w:rFonts w:ascii="Arial" w:hAnsi="Arial"/>
                <w:sz w:val="18"/>
              </w:rPr>
              <w:t>Crisis</w:t>
            </w:r>
          </w:p>
        </w:tc>
        <w:tc>
          <w:tcPr>
            <w:tcW w:type="dxa" w:w="2340"/>
          </w:tcPr>
          <w:p>
            <w:r>
              <w:rPr>
                <w:rFonts w:ascii="Arial" w:hAnsi="Arial"/>
                <w:sz w:val="18"/>
              </w:rPr>
              <w:t>System suspension</w:t>
            </w:r>
          </w:p>
        </w:tc>
        <w:tc>
          <w:tcPr>
            <w:tcW w:type="dxa" w:w="2340"/>
          </w:tcPr>
          <w:p>
            <w:r>
              <w:rPr>
                <w:rFonts w:ascii="Arial" w:hAnsi="Arial"/>
                <w:sz w:val="18"/>
              </w:rPr>
              <w:t>Emergency public notification, manual takeover</w:t>
            </w:r>
          </w:p>
        </w:tc>
      </w:tr>
      <w:tr>
        <w:tc>
          <w:tcPr>
            <w:tcW w:type="dxa" w:w="2340"/>
          </w:tcPr>
          <w:p>
            <w:r>
              <w:rPr>
                <w:rFonts w:ascii="Arial" w:hAnsi="Arial"/>
                <w:sz w:val="18"/>
              </w:rPr>
              <w:t>Level 4</w:t>
            </w:r>
          </w:p>
        </w:tc>
        <w:tc>
          <w:tcPr>
            <w:tcW w:type="dxa" w:w="2340"/>
          </w:tcPr>
          <w:p>
            <w:r>
              <w:rPr>
                <w:rFonts w:ascii="Arial" w:hAnsi="Arial"/>
                <w:sz w:val="18"/>
              </w:rPr>
              <w:t>Disaster</w:t>
            </w:r>
          </w:p>
        </w:tc>
        <w:tc>
          <w:tcPr>
            <w:tcW w:type="dxa" w:w="2340"/>
          </w:tcPr>
          <w:p>
            <w:r>
              <w:rPr>
                <w:rFonts w:ascii="Arial" w:hAnsi="Arial"/>
                <w:sz w:val="18"/>
              </w:rPr>
              <w:t>Complete shutdown</w:t>
            </w:r>
          </w:p>
        </w:tc>
        <w:tc>
          <w:tcPr>
            <w:tcW w:type="dxa" w:w="2340"/>
          </w:tcPr>
          <w:p>
            <w:r>
              <w:rPr>
                <w:rFonts w:ascii="Arial" w:hAnsi="Arial"/>
                <w:sz w:val="18"/>
              </w:rPr>
              <w:t>Traditional system takeover, disaster recovery initiated</w:t>
            </w:r>
          </w:p>
        </w:tc>
      </w:tr>
    </w:tbl>
    <w:p>
      <w:r>
        <w:rPr>
          <w:rFonts w:ascii="Arial" w:hAnsi="Arial"/>
          <w:b/>
          <w:sz w:val="22"/>
        </w:rPr>
        <w:t>4.2.6 Policy Simulation Module</w:t>
      </w:r>
    </w:p>
    <w:p>
      <w:r>
        <w:rPr>
          <w:rFonts w:ascii="Arial" w:hAnsi="Arial"/>
          <w:b/>
          <w:sz w:val="22"/>
        </w:rPr>
        <w:t>Core Responsibility</w:t>
      </w:r>
      <w:r>
        <w:rPr>
          <w:rFonts w:ascii="Arial" w:hAnsi="Arial"/>
          <w:sz w:val="22"/>
        </w:rPr>
        <w:t>: Simulate multi-dimensional impacts before policy implementation, generate effect predictions</w:t>
      </w:r>
    </w:p>
    <w:p>
      <w:r>
        <w:rPr>
          <w:rFonts w:ascii="Arial" w:hAnsi="Arial"/>
          <w:sz w:val="22"/>
        </w:rPr>
        <w:t>Simulation Dimensions:</w:t>
      </w:r>
    </w:p>
    <w:p>
      <w:pPr>
        <w:pStyle w:val="ListBullet"/>
      </w:pPr>
      <w:r>
        <w:rPr>
          <w:rFonts w:ascii="Arial" w:hAnsi="Arial"/>
          <w:sz w:val="22"/>
        </w:rPr>
        <w:t>Economic Impact: GDP, employment, prices, fiscal revenue and expenditure</w:t>
      </w:r>
    </w:p>
    <w:p>
      <w:pPr>
        <w:pStyle w:val="ListBullet"/>
      </w:pPr>
      <w:r>
        <w:rPr>
          <w:rFonts w:ascii="Arial" w:hAnsi="Arial"/>
          <w:sz w:val="22"/>
        </w:rPr>
        <w:t>Social Impact: Fairness, social mobility, resident satisfaction</w:t>
      </w:r>
    </w:p>
    <w:p>
      <w:pPr>
        <w:pStyle w:val="ListBullet"/>
      </w:pPr>
      <w:r>
        <w:rPr>
          <w:rFonts w:ascii="Arial" w:hAnsi="Arial"/>
          <w:sz w:val="22"/>
        </w:rPr>
        <w:t>Environmental Impact: Carbon emissions, resource consumption, ecological effects</w:t>
      </w:r>
    </w:p>
    <w:p>
      <w:pPr>
        <w:pStyle w:val="ListBullet"/>
      </w:pPr>
      <w:r>
        <w:rPr>
          <w:rFonts w:ascii="Arial" w:hAnsi="Arial"/>
          <w:sz w:val="22"/>
        </w:rPr>
        <w:t>Long-term Impact: Intergenerational equity, sustainability, cumulative effects</w:t>
      </w:r>
    </w:p>
    <w:p>
      <w:r>
        <w:rPr>
          <w:rFonts w:ascii="Arial" w:hAnsi="Arial"/>
          <w:sz w:val="22"/>
        </w:rPr>
        <w:t>Technical Features:</w:t>
      </w:r>
    </w:p>
    <w:p>
      <w:pPr>
        <w:pStyle w:val="ListBullet"/>
      </w:pPr>
      <w:r>
        <w:rPr>
          <w:rFonts w:ascii="Arial" w:hAnsi="Arial"/>
          <w:sz w:val="22"/>
        </w:rPr>
        <w:t>Multi-model Cross-validation: At least two independent models simulate separately, results compared</w:t>
      </w:r>
    </w:p>
    <w:p>
      <w:pPr>
        <w:pStyle w:val="ListBullet"/>
      </w:pPr>
      <w:r>
        <w:rPr>
          <w:rFonts w:ascii="Arial" w:hAnsi="Arial"/>
          <w:sz w:val="22"/>
        </w:rPr>
        <w:t>Confidence Interval: Provide confidence intervals and uncertainty for prediction results</w:t>
      </w:r>
    </w:p>
    <w:p>
      <w:pPr>
        <w:pStyle w:val="ListBullet"/>
      </w:pPr>
      <w:r>
        <w:rPr>
          <w:rFonts w:ascii="Arial" w:hAnsi="Arial"/>
          <w:sz w:val="22"/>
        </w:rPr>
        <w:t>Sensitivity Analysis: Analyze the impact of key parameter changes on results</w:t>
      </w:r>
    </w:p>
    <w:p>
      <w:pPr>
        <w:pStyle w:val="ListBullet"/>
      </w:pPr>
      <w:r>
        <w:rPr>
          <w:rFonts w:ascii="Arial" w:hAnsi="Arial"/>
          <w:sz w:val="22"/>
        </w:rPr>
        <w:t>Counterfactual Reasoning: Compare differences between implementation and non-implementation</w:t>
      </w:r>
    </w:p>
    <w:p>
      <w:r>
        <w:rPr>
          <w:rFonts w:ascii="Arial" w:hAnsi="Arial"/>
          <w:b/>
          <w:sz w:val="22"/>
        </w:rPr>
        <w:t>4.2.7 Urban Planning Module</w:t>
      </w:r>
    </w:p>
    <w:p>
      <w:r>
        <w:rPr>
          <w:rFonts w:ascii="Arial" w:hAnsi="Arial"/>
          <w:b/>
          <w:sz w:val="22"/>
        </w:rPr>
        <w:t>Core Responsibility</w:t>
      </w:r>
      <w:r>
        <w:rPr>
          <w:rFonts w:ascii="Arial" w:hAnsi="Arial"/>
          <w:sz w:val="22"/>
        </w:rPr>
        <w:t>: Optimize transportation, energy, land use, public service layout based on real-time data</w:t>
      </w:r>
    </w:p>
    <w:p>
      <w:r>
        <w:rPr>
          <w:rFonts w:ascii="Arial" w:hAnsi="Arial"/>
          <w:b/>
          <w:sz w:val="22"/>
        </w:rPr>
        <w:t>4.2.8 Economic Regulation Module</w:t>
      </w:r>
    </w:p>
    <w:p>
      <w:r>
        <w:rPr>
          <w:rFonts w:ascii="Arial" w:hAnsi="Arial"/>
          <w:b/>
          <w:sz w:val="22"/>
        </w:rPr>
        <w:t>Core Responsibility</w:t>
      </w:r>
      <w:r>
        <w:rPr>
          <w:rFonts w:ascii="Arial" w:hAnsi="Arial"/>
          <w:sz w:val="22"/>
        </w:rPr>
        <w:t>: Monitor economic indicators, regulate parameters such as tax rates and interest rates within authorized scope</w:t>
      </w:r>
    </w:p>
    <w:p>
      <w:r>
        <w:rPr>
          <w:rFonts w:ascii="Arial" w:hAnsi="Arial"/>
          <w:b/>
          <w:sz w:val="22"/>
        </w:rPr>
        <w:t>4.2.9 Identity and Rights Module</w:t>
      </w:r>
    </w:p>
    <w:p>
      <w:r>
        <w:rPr>
          <w:rFonts w:ascii="Arial" w:hAnsi="Arial"/>
          <w:b/>
          <w:sz w:val="22"/>
        </w:rPr>
        <w:t>Core Responsibility</w:t>
      </w:r>
      <w:r>
        <w:rPr>
          <w:rFonts w:ascii="Arial" w:hAnsi="Arial"/>
          <w:sz w:val="22"/>
        </w:rPr>
        <w:t>: Manage citizen digital identity, voting rights, UBI distribution, digital equity</w:t>
      </w:r>
    </w:p>
    <w:p>
      <w:r>
        <w:rPr>
          <w:rFonts w:ascii="Arial" w:hAnsi="Arial"/>
          <w:b/>
          <w:sz w:val="22"/>
        </w:rPr>
        <w:t>4.3 Inference Chain Engine (Explainability Core)</w:t>
      </w:r>
    </w:p>
    <w:p>
      <w:r>
        <w:rPr>
          <w:rFonts w:ascii="Arial" w:hAnsi="Arial"/>
          <w:b/>
          <w:sz w:val="22"/>
        </w:rPr>
        <w:t>4.3.1 Design Objectives</w:t>
      </w:r>
    </w:p>
    <w:p>
      <w:pPr>
        <w:pStyle w:val="ListBullet"/>
      </w:pPr>
      <w:r>
        <w:rPr>
          <w:rFonts w:ascii="Arial" w:hAnsi="Arial"/>
          <w:b/>
          <w:sz w:val="22"/>
        </w:rPr>
        <w:t>Traceable</w:t>
      </w:r>
      <w:r>
        <w:rPr>
          <w:rFonts w:ascii="Arial" w:hAnsi="Arial"/>
          <w:sz w:val="22"/>
        </w:rPr>
        <w:t>: Every decision can be traced to specific rules, data, and reasoning steps</w:t>
      </w:r>
    </w:p>
    <w:p>
      <w:pPr>
        <w:pStyle w:val="ListBullet"/>
      </w:pPr>
      <w:r>
        <w:rPr>
          <w:rFonts w:ascii="Arial" w:hAnsi="Arial"/>
          <w:b/>
          <w:sz w:val="22"/>
        </w:rPr>
        <w:t>Understandable</w:t>
      </w:r>
      <w:r>
        <w:rPr>
          <w:rFonts w:ascii="Arial" w:hAnsi="Arial"/>
          <w:sz w:val="22"/>
        </w:rPr>
        <w:t>: The reasoning process is expressed in human-readable natural language</w:t>
      </w:r>
    </w:p>
    <w:p>
      <w:pPr>
        <w:pStyle w:val="ListBullet"/>
      </w:pPr>
      <w:r>
        <w:rPr>
          <w:rFonts w:ascii="Arial" w:hAnsi="Arial"/>
          <w:b/>
          <w:sz w:val="22"/>
        </w:rPr>
        <w:t>Verifiable</w:t>
      </w:r>
      <w:r>
        <w:rPr>
          <w:rFonts w:ascii="Arial" w:hAnsi="Arial"/>
          <w:sz w:val="22"/>
        </w:rPr>
        <w:t>: Third parties can independently verify the correctness of the reasoning process</w:t>
      </w:r>
    </w:p>
    <w:p>
      <w:pPr>
        <w:pStyle w:val="ListBullet"/>
      </w:pPr>
      <w:r>
        <w:rPr>
          <w:rFonts w:ascii="Arial" w:hAnsi="Arial"/>
          <w:b/>
          <w:sz w:val="22"/>
        </w:rPr>
        <w:t>Tamper-proof</w:t>
      </w:r>
      <w:r>
        <w:rPr>
          <w:rFonts w:ascii="Arial" w:hAnsi="Arial"/>
          <w:sz w:val="22"/>
        </w:rPr>
        <w:t>: Inference chain hashes are recorded on-chain to ensure decision records cannot be tampered with</w:t>
      </w:r>
    </w:p>
    <w:p>
      <w:r>
        <w:rPr>
          <w:rFonts w:ascii="Arial" w:hAnsi="Arial"/>
          <w:b/>
          <w:sz w:val="22"/>
        </w:rPr>
        <w:t>4.3.2 Inference Chain Structure</w:t>
      </w:r>
    </w:p>
    <w:p>
      <w:r>
        <w:rPr>
          <w:rFonts w:ascii="Arial" w:hAnsi="Arial"/>
          <w:sz w:val="22"/>
        </w:rPr>
        <w:t>A standard inference chain contains the following elements:</w:t>
      </w:r>
    </w:p>
    <w:p>
      <w:pPr>
        <w:pStyle w:val="ListNumber"/>
      </w:pPr>
      <w:r>
        <w:rPr>
          <w:rFonts w:ascii="Arial" w:hAnsi="Arial"/>
          <w:b/>
          <w:sz w:val="22"/>
        </w:rPr>
        <w:t>Decision Objective</w:t>
      </w:r>
      <w:r>
        <w:rPr>
          <w:rFonts w:ascii="Arial" w:hAnsi="Arial"/>
          <w:sz w:val="22"/>
        </w:rPr>
        <w:t>: What problem does this decision aim to solve</w:t>
      </w:r>
    </w:p>
    <w:p>
      <w:pPr>
        <w:pStyle w:val="ListNumber"/>
      </w:pPr>
      <w:r>
        <w:rPr>
          <w:rFonts w:ascii="Arial" w:hAnsi="Arial"/>
          <w:b/>
          <w:sz w:val="22"/>
        </w:rPr>
        <w:t>Input Facts</w:t>
      </w:r>
      <w:r>
        <w:rPr>
          <w:rFonts w:ascii="Arial" w:hAnsi="Arial"/>
          <w:sz w:val="22"/>
        </w:rPr>
        <w:t>: The facts and data on which the decision is based</w:t>
      </w:r>
    </w:p>
    <w:p>
      <w:pPr>
        <w:pStyle w:val="ListNumber"/>
      </w:pPr>
      <w:r>
        <w:rPr>
          <w:rFonts w:ascii="Arial" w:hAnsi="Arial"/>
          <w:b/>
          <w:sz w:val="22"/>
        </w:rPr>
        <w:t>Applicable Rules</w:t>
      </w:r>
      <w:r>
        <w:rPr>
          <w:rFonts w:ascii="Arial" w:hAnsi="Arial"/>
          <w:sz w:val="22"/>
        </w:rPr>
        <w:t>: Applicable laws, regulations, and policy provisions</w:t>
      </w:r>
    </w:p>
    <w:p>
      <w:pPr>
        <w:pStyle w:val="ListNumber"/>
      </w:pPr>
      <w:r>
        <w:rPr>
          <w:rFonts w:ascii="Arial" w:hAnsi="Arial"/>
          <w:b/>
          <w:sz w:val="22"/>
        </w:rPr>
        <w:t>Reasoning Steps</w:t>
      </w:r>
      <w:r>
        <w:rPr>
          <w:rFonts w:ascii="Arial" w:hAnsi="Arial"/>
          <w:sz w:val="22"/>
        </w:rPr>
        <w:t>: Each step in deriving conclusions from facts and rules</w:t>
      </w:r>
    </w:p>
    <w:p>
      <w:pPr>
        <w:pStyle w:val="ListNumber"/>
      </w:pPr>
      <w:r>
        <w:rPr>
          <w:rFonts w:ascii="Arial" w:hAnsi="Arial"/>
          <w:b/>
          <w:sz w:val="22"/>
        </w:rPr>
        <w:t>Reference Cases</w:t>
      </w:r>
      <w:r>
        <w:rPr>
          <w:rFonts w:ascii="Arial" w:hAnsi="Arial"/>
          <w:sz w:val="22"/>
        </w:rPr>
        <w:t>: How similar cases were handled (if any)</w:t>
      </w:r>
    </w:p>
    <w:p>
      <w:pPr>
        <w:pStyle w:val="ListNumber"/>
      </w:pPr>
      <w:r>
        <w:rPr>
          <w:rFonts w:ascii="Arial" w:hAnsi="Arial"/>
          <w:b/>
          <w:sz w:val="22"/>
        </w:rPr>
        <w:t>Conclusion</w:t>
      </w:r>
      <w:r>
        <w:rPr>
          <w:rFonts w:ascii="Arial" w:hAnsi="Arial"/>
          <w:sz w:val="22"/>
        </w:rPr>
        <w:t>: The final decision result</w:t>
      </w:r>
    </w:p>
    <w:p>
      <w:pPr>
        <w:pStyle w:val="ListNumber"/>
      </w:pPr>
      <w:r>
        <w:rPr>
          <w:rFonts w:ascii="Arial" w:hAnsi="Arial"/>
          <w:b/>
          <w:sz w:val="22"/>
        </w:rPr>
        <w:t>Confidence Level</w:t>
      </w:r>
      <w:r>
        <w:rPr>
          <w:rFonts w:ascii="Arial" w:hAnsi="Arial"/>
          <w:sz w:val="22"/>
        </w:rPr>
        <w:t>: The confidence score of the decision and explanation of uncertainty</w:t>
      </w:r>
    </w:p>
    <w:p>
      <w:pPr>
        <w:pStyle w:val="ListNumber"/>
      </w:pPr>
      <w:r>
        <w:rPr>
          <w:rFonts w:ascii="Arial" w:hAnsi="Arial"/>
          <w:b/>
          <w:sz w:val="22"/>
        </w:rPr>
        <w:t>Alternative Options</w:t>
      </w:r>
      <w:r>
        <w:rPr>
          <w:rFonts w:ascii="Arial" w:hAnsi="Arial"/>
          <w:sz w:val="22"/>
        </w:rPr>
        <w:t>: Other possible solutions and their justifications</w:t>
      </w:r>
    </w:p>
    <w:p>
      <w:r>
        <w:rPr>
          <w:rFonts w:ascii="Arial" w:hAnsi="Arial"/>
          <w:b/>
          <w:sz w:val="22"/>
        </w:rPr>
        <w:t>4.3.3 Inference Chain Verification</w:t>
      </w:r>
    </w:p>
    <w:p>
      <w:pPr>
        <w:pStyle w:val="ListBullet"/>
      </w:pPr>
      <w:r>
        <w:rPr>
          <w:rFonts w:ascii="Arial" w:hAnsi="Arial"/>
          <w:b/>
          <w:sz w:val="22"/>
        </w:rPr>
        <w:t>Consistency Check</w:t>
      </w:r>
      <w:r>
        <w:rPr>
          <w:rFonts w:ascii="Arial" w:hAnsi="Arial"/>
          <w:sz w:val="22"/>
        </w:rPr>
        <w:t>: Whether the same facts lead to the same conclusions</w:t>
      </w:r>
    </w:p>
    <w:p>
      <w:pPr>
        <w:pStyle w:val="ListBullet"/>
      </w:pPr>
      <w:r>
        <w:rPr>
          <w:rFonts w:ascii="Arial" w:hAnsi="Arial"/>
          <w:b/>
          <w:sz w:val="22"/>
        </w:rPr>
        <w:t>Rule Compliance</w:t>
      </w:r>
      <w:r>
        <w:rPr>
          <w:rFonts w:ascii="Arial" w:hAnsi="Arial"/>
          <w:sz w:val="22"/>
        </w:rPr>
        <w:t>: Whether the reasoning process complies with applicable rules</w:t>
      </w:r>
    </w:p>
    <w:p>
      <w:pPr>
        <w:pStyle w:val="ListBullet"/>
      </w:pPr>
      <w:r>
        <w:rPr>
          <w:rFonts w:ascii="Arial" w:hAnsi="Arial"/>
          <w:b/>
          <w:sz w:val="22"/>
        </w:rPr>
        <w:t>Logical Validity</w:t>
      </w:r>
      <w:r>
        <w:rPr>
          <w:rFonts w:ascii="Arial" w:hAnsi="Arial"/>
          <w:sz w:val="22"/>
        </w:rPr>
        <w:t>: Whether there are logical jumps or fallacies between reasoning steps</w:t>
      </w:r>
    </w:p>
    <w:p>
      <w:pPr>
        <w:pStyle w:val="ListBullet"/>
      </w:pPr>
      <w:r>
        <w:rPr>
          <w:rFonts w:ascii="Arial" w:hAnsi="Arial"/>
          <w:b/>
          <w:sz w:val="22"/>
        </w:rPr>
        <w:t>Evidence Sufficiency</w:t>
      </w:r>
      <w:r>
        <w:rPr>
          <w:rFonts w:ascii="Arial" w:hAnsi="Arial"/>
          <w:sz w:val="22"/>
        </w:rPr>
        <w:t>: Whether the conclusion has sufficient evidence support</w:t>
      </w:r>
    </w:p>
    <w:p>
      <w:r>
        <w:rPr>
          <w:rFonts w:ascii="Arial" w:hAnsi="Arial"/>
          <w:b/>
          <w:sz w:val="22"/>
        </w:rPr>
        <w:t>4.4 Multi-Model Coordination Mechanism</w:t>
      </w:r>
    </w:p>
    <w:p>
      <w:r>
        <w:rPr>
          <w:rFonts w:ascii="Arial" w:hAnsi="Arial"/>
          <w:b/>
          <w:sz w:val="22"/>
        </w:rPr>
        <w:t>4.4.1 Model Routing</w:t>
      </w:r>
    </w:p>
    <w:p>
      <w:r>
        <w:rPr>
          <w:rFonts w:ascii="Arial" w:hAnsi="Arial"/>
          <w:sz w:val="22"/>
        </w:rPr>
        <w:t>Automatically select the most suitable model based on task type:</w:t>
      </w:r>
    </w:p>
    <w:p>
      <w:pPr>
        <w:pStyle w:val="ListBullet"/>
      </w:pPr>
      <w:r>
        <w:rPr>
          <w:rFonts w:ascii="Arial" w:hAnsi="Arial"/>
          <w:sz w:val="22"/>
        </w:rPr>
        <w:t>Simple rule matching → Small model (under 14B), low latency, high throughput</w:t>
      </w:r>
    </w:p>
    <w:p>
      <w:pPr>
        <w:pStyle w:val="ListBullet"/>
      </w:pPr>
      <w:r>
        <w:rPr>
          <w:rFonts w:ascii="Arial" w:hAnsi="Arial"/>
          <w:sz w:val="22"/>
        </w:rPr>
        <w:t>Routine business processing → Medium model (32B), balanced performance and cost</w:t>
      </w:r>
    </w:p>
    <w:p>
      <w:pPr>
        <w:pStyle w:val="ListBullet"/>
      </w:pPr>
      <w:r>
        <w:rPr>
          <w:rFonts w:ascii="Arial" w:hAnsi="Arial"/>
          <w:sz w:val="22"/>
        </w:rPr>
        <w:t>Complex reasoning decisions → Large model (72B), ensuring reasoning quality</w:t>
      </w:r>
    </w:p>
    <w:p>
      <w:pPr>
        <w:pStyle w:val="ListBullet"/>
      </w:pPr>
      <w:r>
        <w:rPr>
          <w:rFonts w:ascii="Arial" w:hAnsi="Arial"/>
          <w:sz w:val="22"/>
        </w:rPr>
        <w:t>Policy simulation research → Reasoning-specialized model (DeepSeek-R1), strongest reasoning capability</w:t>
      </w:r>
    </w:p>
    <w:p>
      <w:r>
        <w:rPr>
          <w:rFonts w:ascii="Arial" w:hAnsi="Arial"/>
          <w:b/>
          <w:sz w:val="22"/>
        </w:rPr>
        <w:t>4.4.2 Cross-Validation</w:t>
      </w:r>
    </w:p>
    <w:p>
      <w:r>
        <w:rPr>
          <w:rFonts w:ascii="Arial" w:hAnsi="Arial"/>
          <w:sz w:val="22"/>
        </w:rPr>
        <w:t>Multi-model cross-validation in high-risk decision scenarios:</w:t>
      </w:r>
    </w:p>
    <w:p>
      <w:pPr>
        <w:pStyle w:val="ListBullet"/>
      </w:pPr>
      <w:r>
        <w:rPr>
          <w:rFonts w:ascii="Arial" w:hAnsi="Arial"/>
          <w:sz w:val="22"/>
        </w:rPr>
        <w:t>At least two independently trained model versions run inference in parallel</w:t>
      </w:r>
    </w:p>
    <w:p>
      <w:pPr>
        <w:pStyle w:val="ListBullet"/>
      </w:pPr>
      <w:r>
        <w:rPr>
          <w:rFonts w:ascii="Arial" w:hAnsi="Arial"/>
          <w:sz w:val="22"/>
        </w:rPr>
        <w:t>If results are consistent, output normally</w:t>
      </w:r>
    </w:p>
    <w:p>
      <w:pPr>
        <w:pStyle w:val="ListBullet"/>
      </w:pPr>
      <w:r>
        <w:rPr>
          <w:rFonts w:ascii="Arial" w:hAnsi="Arial"/>
          <w:sz w:val="22"/>
        </w:rPr>
        <w:t>If results are inconsistent, trigger manual review</w:t>
      </w:r>
    </w:p>
    <w:p>
      <w:pPr>
        <w:pStyle w:val="ListBullet"/>
      </w:pPr>
      <w:r>
        <w:rPr>
          <w:rFonts w:ascii="Arial" w:hAnsi="Arial"/>
          <w:sz w:val="22"/>
        </w:rPr>
        <w:t>Regularly statistics model divergence rate as a model quality indicator</w:t>
      </w:r>
    </w:p>
    <w:p>
      <w:r>
        <w:rPr>
          <w:rFonts w:ascii="Arial" w:hAnsi="Arial"/>
          <w:b/>
          <w:sz w:val="22"/>
        </w:rPr>
        <w:t>4.5 Blockchain Integration</w:t>
      </w:r>
    </w:p>
    <w:p>
      <w:r>
        <w:rPr>
          <w:rFonts w:ascii="Arial" w:hAnsi="Arial"/>
          <w:b/>
          <w:sz w:val="22"/>
        </w:rPr>
        <w:t>4.5.1 On-chain Recordable Content</w:t>
      </w:r>
    </w:p>
    <w:p>
      <w:pPr>
        <w:pStyle w:val="ListBullet"/>
      </w:pPr>
      <w:r>
        <w:rPr>
          <w:rFonts w:ascii="Arial" w:hAnsi="Arial"/>
          <w:sz w:val="22"/>
        </w:rPr>
        <w:t>Inference chain hashes for all decisions</w:t>
      </w:r>
    </w:p>
    <w:p>
      <w:pPr>
        <w:pStyle w:val="ListBullet"/>
      </w:pPr>
      <w:r>
        <w:rPr>
          <w:rFonts w:ascii="Arial" w:hAnsi="Arial"/>
          <w:sz w:val="22"/>
        </w:rPr>
        <w:t>All fiscal transaction records</w:t>
      </w:r>
    </w:p>
    <w:p>
      <w:pPr>
        <w:pStyle w:val="ListBullet"/>
      </w:pPr>
      <w:r>
        <w:rPr>
          <w:rFonts w:ascii="Arial" w:hAnsi="Arial"/>
          <w:sz w:val="22"/>
        </w:rPr>
        <w:t>All voting results</w:t>
      </w:r>
    </w:p>
    <w:p>
      <w:pPr>
        <w:pStyle w:val="ListBullet"/>
      </w:pPr>
      <w:r>
        <w:rPr>
          <w:rFonts w:ascii="Arial" w:hAnsi="Arial"/>
          <w:sz w:val="22"/>
        </w:rPr>
        <w:t>All identity operation records</w:t>
      </w:r>
    </w:p>
    <w:p>
      <w:pPr>
        <w:pStyle w:val="ListBullet"/>
      </w:pPr>
      <w:r>
        <w:rPr>
          <w:rFonts w:ascii="Arial" w:hAnsi="Arial"/>
          <w:sz w:val="22"/>
        </w:rPr>
        <w:t>Model versions and training log hashes</w:t>
      </w:r>
    </w:p>
    <w:p>
      <w:pPr>
        <w:pStyle w:val="ListBullet"/>
      </w:pPr>
      <w:r>
        <w:rPr>
          <w:rFonts w:ascii="Arial" w:hAnsi="Arial"/>
          <w:sz w:val="22"/>
        </w:rPr>
        <w:t>Constitution and rule version history</w:t>
      </w:r>
    </w:p>
    <w:p>
      <w:r>
        <w:rPr>
          <w:rFonts w:ascii="Arial" w:hAnsi="Arial"/>
          <w:b/>
          <w:sz w:val="22"/>
        </w:rPr>
        <w:t>4.5.2 Zero-Knowledge Proof Applications</w:t>
      </w:r>
    </w:p>
    <w:p>
      <w:pPr>
        <w:pStyle w:val="ListBullet"/>
      </w:pPr>
      <w:r>
        <w:rPr>
          <w:rFonts w:ascii="Arial" w:hAnsi="Arial"/>
          <w:sz w:val="22"/>
        </w:rPr>
        <w:t>Identity Verification: Prove you are a legitimate citizen without revealing specific identity information</w:t>
      </w:r>
    </w:p>
    <w:p>
      <w:pPr>
        <w:pStyle w:val="ListBullet"/>
      </w:pPr>
      <w:r>
        <w:rPr>
          <w:rFonts w:ascii="Arial" w:hAnsi="Arial"/>
          <w:sz w:val="22"/>
        </w:rPr>
        <w:t>Qualification Verification: Prove you meet certain conditions without revealing specific data</w:t>
      </w:r>
    </w:p>
    <w:p>
      <w:pPr>
        <w:pStyle w:val="ListBullet"/>
      </w:pPr>
      <w:r>
        <w:rPr>
          <w:rFonts w:ascii="Arial" w:hAnsi="Arial"/>
          <w:sz w:val="22"/>
        </w:rPr>
        <w:t>Voting Privacy: Prove your vote is valid without revealing what you voted for</w:t>
      </w:r>
    </w:p>
    <w:p>
      <w:pPr>
        <w:pStyle w:val="ListBullet"/>
      </w:pPr>
      <w:r>
        <w:rPr>
          <w:rFonts w:ascii="Arial" w:hAnsi="Arial"/>
          <w:sz w:val="22"/>
        </w:rPr>
        <w:t>Audit Compliance: Prove compliance without revealing sensitive business data</w:t>
      </w:r>
    </w:p>
    <w:p>
      <w:r>
        <w:rPr>
          <w:rFonts w:ascii="Arial" w:hAnsi="Arial"/>
          <w:b/>
          <w:sz w:val="22"/>
        </w:rPr>
        <w:t>V. Deployment and Operations Plan</w:t>
      </w:r>
    </w:p>
    <w:p>
      <w:r>
        <w:rPr>
          <w:rFonts w:ascii="Arial" w:hAnsi="Arial"/>
          <w:sz w:val="22"/>
        </w:rPr>
        <w:t>Distributed inference, high availability, monitoring and audit system</w:t>
      </w:r>
    </w:p>
    <w:p>
      <w:r>
        <w:rPr>
          <w:rFonts w:ascii="Arial" w:hAnsi="Arial"/>
          <w:b/>
          <w:sz w:val="22"/>
        </w:rPr>
        <w:t>5.1 Inference Deployment Framework Selection</w:t>
      </w:r>
    </w:p>
    <w:tbl>
      <w:tblPr>
        <w:tblStyle w:val="LightShading-Accent1"/>
        <w:tblW w:type="auto" w:w="0"/>
        <w:tblLook w:firstColumn="1" w:firstRow="1" w:lastColumn="0" w:lastRow="0" w:noHBand="0" w:noVBand="1" w:val="04A0"/>
      </w:tblPr>
      <w:tblGrid>
        <w:gridCol w:w="2340"/>
        <w:gridCol w:w="2340"/>
        <w:gridCol w:w="2340"/>
        <w:gridCol w:w="2340"/>
      </w:tblGrid>
      <w:tr>
        <w:tc>
          <w:tcPr>
            <w:tcW w:type="dxa" w:w="2340"/>
          </w:tcPr>
          <w:p>
            <w:r>
              <w:rPr>
                <w:rFonts w:ascii="Arial" w:hAnsi="Arial"/>
                <w:b/>
                <w:sz w:val="18"/>
              </w:rPr>
              <w:t>Framework</w:t>
            </w:r>
          </w:p>
        </w:tc>
        <w:tc>
          <w:tcPr>
            <w:tcW w:type="dxa" w:w="2340"/>
          </w:tcPr>
          <w:p>
            <w:r>
              <w:rPr>
                <w:rFonts w:ascii="Arial" w:hAnsi="Arial"/>
                <w:b/>
                <w:sz w:val="18"/>
              </w:rPr>
              <w:t>Performance</w:t>
            </w:r>
          </w:p>
        </w:tc>
        <w:tc>
          <w:tcPr>
            <w:tcW w:type="dxa" w:w="2340"/>
          </w:tcPr>
          <w:p>
            <w:r>
              <w:rPr>
                <w:rFonts w:ascii="Arial" w:hAnsi="Arial"/>
                <w:b/>
                <w:sz w:val="18"/>
              </w:rPr>
              <w:t>Ease of Use</w:t>
            </w:r>
          </w:p>
        </w:tc>
        <w:tc>
          <w:tcPr>
            <w:tcW w:type="dxa" w:w="2340"/>
          </w:tcPr>
          <w:p>
            <w:r>
              <w:rPr>
                <w:rFonts w:ascii="Arial" w:hAnsi="Arial"/>
                <w:b/>
                <w:sz w:val="18"/>
              </w:rPr>
              <w:t>Applicable Scenarios</w:t>
            </w:r>
          </w:p>
        </w:tc>
      </w:tr>
      <w:tr>
        <w:tc>
          <w:tcPr>
            <w:tcW w:type="dxa" w:w="2340"/>
          </w:tcPr>
          <w:p>
            <w:r>
              <w:rPr>
                <w:rFonts w:ascii="Arial" w:hAnsi="Arial"/>
                <w:sz w:val="18"/>
              </w:rPr>
              <w:t>vLLM</w:t>
            </w:r>
          </w:p>
        </w:tc>
        <w:tc>
          <w:tcPr>
            <w:tcW w:type="dxa" w:w="2340"/>
          </w:tcPr>
          <w:p>
            <w:r>
              <w:rPr>
                <w:rFonts w:ascii="Arial" w:hAnsi="Arial"/>
                <w:sz w:val="18"/>
              </w:rPr>
              <w:t>★★★★☆</w:t>
            </w:r>
          </w:p>
        </w:tc>
        <w:tc>
          <w:tcPr>
            <w:tcW w:type="dxa" w:w="2340"/>
          </w:tcPr>
          <w:p>
            <w:r>
              <w:rPr>
                <w:rFonts w:ascii="Arial" w:hAnsi="Arial"/>
                <w:sz w:val="18"/>
              </w:rPr>
              <w:t>★★★★★</w:t>
            </w:r>
          </w:p>
        </w:tc>
        <w:tc>
          <w:tcPr>
            <w:tcW w:type="dxa" w:w="2340"/>
          </w:tcPr>
          <w:p>
            <w:r>
              <w:rPr>
                <w:rFonts w:ascii="Arial" w:hAnsi="Arial"/>
                <w:sz w:val="18"/>
              </w:rPr>
              <w:t>Rapid deployment, high concurrency, OpenAI-compatible API, flexible iteration</w:t>
            </w:r>
          </w:p>
        </w:tc>
      </w:tr>
      <w:tr>
        <w:tc>
          <w:tcPr>
            <w:tcW w:type="dxa" w:w="2340"/>
          </w:tcPr>
          <w:p>
            <w:r>
              <w:rPr>
                <w:rFonts w:ascii="Arial" w:hAnsi="Arial"/>
                <w:sz w:val="18"/>
              </w:rPr>
              <w:t>TensorRT-LLM</w:t>
            </w:r>
          </w:p>
        </w:tc>
        <w:tc>
          <w:tcPr>
            <w:tcW w:type="dxa" w:w="2340"/>
          </w:tcPr>
          <w:p>
            <w:r>
              <w:rPr>
                <w:rFonts w:ascii="Arial" w:hAnsi="Arial"/>
                <w:sz w:val="18"/>
              </w:rPr>
              <w:t>★★★★★</w:t>
            </w:r>
          </w:p>
        </w:tc>
        <w:tc>
          <w:tcPr>
            <w:tcW w:type="dxa" w:w="2340"/>
          </w:tcPr>
          <w:p>
            <w:r>
              <w:rPr>
                <w:rFonts w:ascii="Arial" w:hAnsi="Arial"/>
                <w:sz w:val="18"/>
              </w:rPr>
              <w:t>★★★☆☆</w:t>
            </w:r>
          </w:p>
        </w:tc>
        <w:tc>
          <w:tcPr>
            <w:tcW w:type="dxa" w:w="2340"/>
          </w:tcPr>
          <w:p>
            <w:r>
              <w:rPr>
                <w:rFonts w:ascii="Arial" w:hAnsi="Arial"/>
                <w:sz w:val="18"/>
              </w:rPr>
              <w:t>NVIDIA GPU extreme performance, high-throughput production environment</w:t>
            </w:r>
          </w:p>
        </w:tc>
      </w:tr>
      <w:tr>
        <w:tc>
          <w:tcPr>
            <w:tcW w:type="dxa" w:w="2340"/>
          </w:tcPr>
          <w:p>
            <w:r>
              <w:rPr>
                <w:rFonts w:ascii="Arial" w:hAnsi="Arial"/>
                <w:sz w:val="18"/>
              </w:rPr>
              <w:t>SGLang</w:t>
            </w:r>
          </w:p>
        </w:tc>
        <w:tc>
          <w:tcPr>
            <w:tcW w:type="dxa" w:w="2340"/>
          </w:tcPr>
          <w:p>
            <w:r>
              <w:rPr>
                <w:rFonts w:ascii="Arial" w:hAnsi="Arial"/>
                <w:sz w:val="18"/>
              </w:rPr>
              <w:t>★★★★☆</w:t>
            </w:r>
          </w:p>
        </w:tc>
        <w:tc>
          <w:tcPr>
            <w:tcW w:type="dxa" w:w="2340"/>
          </w:tcPr>
          <w:p>
            <w:r>
              <w:rPr>
                <w:rFonts w:ascii="Arial" w:hAnsi="Arial"/>
                <w:sz w:val="18"/>
              </w:rPr>
              <w:t>★★★★☆</w:t>
            </w:r>
          </w:p>
        </w:tc>
        <w:tc>
          <w:tcPr>
            <w:tcW w:type="dxa" w:w="2340"/>
          </w:tcPr>
          <w:p>
            <w:r>
              <w:rPr>
                <w:rFonts w:ascii="Arial" w:hAnsi="Arial"/>
                <w:sz w:val="18"/>
              </w:rPr>
              <w:t>Emerging framework, excellent performance, feature-rich</w:t>
            </w:r>
          </w:p>
        </w:tc>
      </w:tr>
    </w:tbl>
    <w:tbl>
      <w:tblPr>
        <w:tblStyle w:val="LightShading-Accent1"/>
        <w:tblW w:type="auto" w:w="0"/>
        <w:tblLook w:firstColumn="1" w:firstRow="1" w:lastColumn="0" w:lastRow="0" w:noHBand="0" w:noVBand="1" w:val="04A0"/>
      </w:tblPr>
      <w:tblGrid>
        <w:gridCol w:w="9360"/>
      </w:tblGrid>
      <w:tr>
        <w:tc>
          <w:tcPr>
            <w:tcW w:type="dxa" w:w="9360"/>
          </w:tcPr>
          <w:p>
            <w:r>
              <w:rPr>
                <w:rFonts w:ascii="Arial" w:hAnsi="Arial"/>
                <w:b/>
                <w:sz w:val="18"/>
              </w:rPr>
              <w:t>Recommended Solution: vLLM as primary, TensorRT-LLM as secondary</w:t>
            </w:r>
          </w:p>
        </w:tc>
      </w:tr>
      <w:tr>
        <w:tc>
          <w:tcPr>
            <w:tcW w:type="dxa" w:w="9360"/>
          </w:tcPr>
          <w:p>
            <w:r>
              <w:rPr>
                <w:rFonts w:ascii="Arial" w:hAnsi="Arial"/>
                <w:sz w:val="18"/>
              </w:rPr>
              <w:t>Rationale: vLLM offers simple deployment, mature ecosystem, supports distributed inference, OpenAI-compatible API, suitable for rapid iteration and most scenarios; core high-throughput modules can use TensorRT-LLM for further performance optimization.</w:t>
            </w:r>
          </w:p>
        </w:tc>
      </w:tr>
    </w:tbl>
    <w:p>
      <w:r>
        <w:rPr>
          <w:rFonts w:ascii="Arial" w:hAnsi="Arial"/>
          <w:b/>
          <w:sz w:val="22"/>
        </w:rPr>
        <w:t>5.2 Distributed Inference Solution</w:t>
      </w:r>
    </w:p>
    <w:p>
      <w:r>
        <w:rPr>
          <w:rFonts w:ascii="Arial" w:hAnsi="Arial"/>
          <w:b/>
          <w:sz w:val="22"/>
        </w:rPr>
        <w:t>5.2.1 Parallel Strategies</w:t>
      </w:r>
    </w:p>
    <w:tbl>
      <w:tblPr>
        <w:tblStyle w:val="LightShading-Accent1"/>
        <w:tblW w:type="auto" w:w="0"/>
        <w:tblLook w:firstColumn="1" w:firstRow="1" w:lastColumn="0" w:lastRow="0" w:noHBand="0" w:noVBand="1" w:val="04A0"/>
      </w:tblPr>
      <w:tblGrid>
        <w:gridCol w:w="4680"/>
        <w:gridCol w:w="4680"/>
      </w:tblGrid>
      <w:tr>
        <w:tc>
          <w:tcPr>
            <w:tcW w:type="dxa" w:w="4680"/>
          </w:tcPr>
          <w:p>
            <w:r>
              <w:rPr>
                <w:rFonts w:ascii="Arial" w:hAnsi="Arial"/>
                <w:b/>
                <w:sz w:val="18"/>
              </w:rPr>
              <w:t>Tensor Parallelism (TP)</w:t>
            </w:r>
          </w:p>
        </w:tc>
        <w:tc>
          <w:tcPr>
            <w:tcW w:type="dxa" w:w="4680"/>
          </w:tcPr>
          <w:p>
            <w:r>
              <w:rPr>
                <w:rFonts w:ascii="Arial" w:hAnsi="Arial"/>
                <w:b/>
                <w:sz w:val="18"/>
              </w:rPr>
              <w:t>Pipeline Parallelism (PP)</w:t>
            </w:r>
          </w:p>
        </w:tc>
      </w:tr>
      <w:tr>
        <w:tc>
          <w:tcPr>
            <w:tcW w:type="dxa" w:w="4680"/>
          </w:tcPr>
          <w:p>
            <w:r>
              <w:rPr>
                <w:rFonts w:ascii="Arial" w:hAnsi="Arial"/>
                <w:sz w:val="18"/>
              </w:rPr>
              <w:t>-   Split transformer tensor operations across multiple GPUs</w:t>
            </w:r>
          </w:p>
        </w:tc>
        <w:tc>
          <w:tcPr>
            <w:tcW w:type="dxa" w:w="4680"/>
          </w:tcPr>
          <w:p>
            <w:r>
              <w:rPr>
                <w:rFonts w:ascii="Arial" w:hAnsi="Arial"/>
                <w:sz w:val="18"/>
              </w:rPr>
              <w:t>-   Split model layers across multiple nodes</w:t>
            </w:r>
          </w:p>
        </w:tc>
      </w:tr>
      <w:tr>
        <w:tc>
          <w:tcPr>
            <w:tcW w:type="dxa" w:w="4680"/>
          </w:tcPr>
          <w:p>
            <w:r>
              <w:rPr>
                <w:rFonts w:ascii="Arial" w:hAnsi="Arial"/>
                <w:sz w:val="18"/>
              </w:rPr>
              <w:t>-   Suitable for multiple GPUs within a single node</w:t>
            </w:r>
          </w:p>
        </w:tc>
        <w:tc>
          <w:tcPr>
            <w:tcW w:type="dxa" w:w="4680"/>
          </w:tcPr>
          <w:p>
            <w:r>
              <w:rPr>
                <w:rFonts w:ascii="Arial" w:hAnsi="Arial"/>
                <w:sz w:val="18"/>
              </w:rPr>
              <w:t>-   Suitable for ultra-large-scale models</w:t>
            </w:r>
          </w:p>
        </w:tc>
      </w:tr>
      <w:tr>
        <w:tc>
          <w:tcPr>
            <w:tcW w:type="dxa" w:w="4680"/>
          </w:tcPr>
          <w:p>
            <w:r>
              <w:rPr>
                <w:rFonts w:ascii="Arial" w:hAnsi="Arial"/>
                <w:sz w:val="18"/>
              </w:rPr>
              <w:t>-   Lower communication overhead</w:t>
            </w:r>
          </w:p>
        </w:tc>
        <w:tc>
          <w:tcPr>
            <w:tcW w:type="dxa" w:w="4680"/>
          </w:tcPr>
          <w:p>
            <w:r>
              <w:rPr>
                <w:rFonts w:ascii="Arial" w:hAnsi="Arial"/>
                <w:sz w:val="18"/>
              </w:rPr>
              <w:t>-   Has bubble overhead</w:t>
            </w:r>
          </w:p>
        </w:tc>
      </w:tr>
      <w:tr>
        <w:tc>
          <w:tcPr>
            <w:tcW w:type="dxa" w:w="4680"/>
          </w:tcPr>
          <w:p>
            <w:r>
              <w:rPr>
                <w:rFonts w:ascii="Arial" w:hAnsi="Arial"/>
                <w:sz w:val="18"/>
              </w:rPr>
              <w:t>-   Recommended TP = 4 or 8</w:t>
            </w:r>
          </w:p>
        </w:tc>
        <w:tc>
          <w:tcPr>
            <w:tcW w:type="dxa" w:w="4680"/>
          </w:tcPr>
          <w:p>
            <w:r>
              <w:rPr>
                <w:rFonts w:ascii="Arial" w:hAnsi="Arial"/>
                <w:sz w:val="18"/>
              </w:rPr>
              <w:t>-   Recommended PP = 2 or 4</w:t>
            </w:r>
          </w:p>
        </w:tc>
      </w:tr>
    </w:tbl>
    <w:p>
      <w:r>
        <w:rPr>
          <w:rFonts w:ascii="Arial" w:hAnsi="Arial"/>
          <w:b/>
          <w:sz w:val="22"/>
        </w:rPr>
        <w:t>5.2.2 Deployment Configuration for Different Model Scales</w:t>
      </w:r>
    </w:p>
    <w:tbl>
      <w:tblPr>
        <w:tblStyle w:val="LightShading-Accent1"/>
        <w:tblW w:type="auto" w:w="0"/>
        <w:tblLook w:firstColumn="1" w:firstRow="1" w:lastColumn="0" w:lastRow="0" w:noHBand="0" w:noVBand="1" w:val="04A0"/>
      </w:tblPr>
      <w:tblGrid>
        <w:gridCol w:w="1872"/>
        <w:gridCol w:w="1872"/>
        <w:gridCol w:w="1872"/>
        <w:gridCol w:w="1872"/>
        <w:gridCol w:w="1872"/>
      </w:tblGrid>
      <w:tr>
        <w:tc>
          <w:tcPr>
            <w:tcW w:type="dxa" w:w="1872"/>
          </w:tcPr>
          <w:p>
            <w:r>
              <w:rPr>
                <w:rFonts w:ascii="Arial" w:hAnsi="Arial"/>
                <w:b/>
                <w:sz w:val="18"/>
              </w:rPr>
              <w:t>Model Scale</w:t>
            </w:r>
          </w:p>
        </w:tc>
        <w:tc>
          <w:tcPr>
            <w:tcW w:type="dxa" w:w="1872"/>
          </w:tcPr>
          <w:p>
            <w:r>
              <w:rPr>
                <w:rFonts w:ascii="Arial" w:hAnsi="Arial"/>
                <w:b/>
                <w:sz w:val="18"/>
              </w:rPr>
              <w:t>Precision</w:t>
            </w:r>
          </w:p>
        </w:tc>
        <w:tc>
          <w:tcPr>
            <w:tcW w:type="dxa" w:w="1872"/>
          </w:tcPr>
          <w:p>
            <w:r>
              <w:rPr>
                <w:rFonts w:ascii="Arial" w:hAnsi="Arial"/>
                <w:b/>
                <w:sz w:val="18"/>
              </w:rPr>
              <w:t>Single-card VRAM Requirement</w:t>
            </w:r>
          </w:p>
        </w:tc>
        <w:tc>
          <w:tcPr>
            <w:tcW w:type="dxa" w:w="1872"/>
          </w:tcPr>
          <w:p>
            <w:r>
              <w:rPr>
                <w:rFonts w:ascii="Arial" w:hAnsi="Arial"/>
                <w:b/>
                <w:sz w:val="18"/>
              </w:rPr>
              <w:t>Recommended Configuration</w:t>
            </w:r>
          </w:p>
        </w:tc>
        <w:tc>
          <w:tcPr>
            <w:tcW w:type="dxa" w:w="1872"/>
          </w:tcPr>
          <w:p>
            <w:r>
              <w:rPr>
                <w:rFonts w:ascii="Arial" w:hAnsi="Arial"/>
                <w:b/>
                <w:sz w:val="18"/>
              </w:rPr>
              <w:t>Throughput (token/s)</w:t>
            </w:r>
          </w:p>
        </w:tc>
      </w:tr>
      <w:tr>
        <w:tc>
          <w:tcPr>
            <w:tcW w:type="dxa" w:w="1872"/>
          </w:tcPr>
          <w:p>
            <w:r>
              <w:rPr>
                <w:rFonts w:ascii="Arial" w:hAnsi="Arial"/>
                <w:sz w:val="18"/>
              </w:rPr>
              <w:t>7B</w:t>
            </w:r>
          </w:p>
        </w:tc>
        <w:tc>
          <w:tcPr>
            <w:tcW w:type="dxa" w:w="1872"/>
          </w:tcPr>
          <w:p>
            <w:r>
              <w:rPr>
                <w:rFonts w:ascii="Arial" w:hAnsi="Arial"/>
                <w:sz w:val="18"/>
              </w:rPr>
              <w:t>FP16</w:t>
            </w:r>
          </w:p>
        </w:tc>
        <w:tc>
          <w:tcPr>
            <w:tcW w:type="dxa" w:w="1872"/>
          </w:tcPr>
          <w:p>
            <w:r>
              <w:rPr>
                <w:rFonts w:ascii="Arial" w:hAnsi="Arial"/>
                <w:sz w:val="18"/>
              </w:rPr>
              <w:t>14GB</w:t>
            </w:r>
          </w:p>
        </w:tc>
        <w:tc>
          <w:tcPr>
            <w:tcW w:type="dxa" w:w="1872"/>
          </w:tcPr>
          <w:p>
            <w:r>
              <w:rPr>
                <w:rFonts w:ascii="Arial" w:hAnsi="Arial"/>
                <w:sz w:val="18"/>
              </w:rPr>
              <w:t>Single A10/H100</w:t>
            </w:r>
          </w:p>
        </w:tc>
        <w:tc>
          <w:tcPr>
            <w:tcW w:type="dxa" w:w="1872"/>
          </w:tcPr>
          <w:p>
            <w:r>
              <w:rPr>
                <w:rFonts w:ascii="Arial" w:hAnsi="Arial"/>
                <w:sz w:val="18"/>
              </w:rPr>
              <w:t>~3000</w:t>
            </w:r>
          </w:p>
        </w:tc>
      </w:tr>
      <w:tr>
        <w:tc>
          <w:tcPr>
            <w:tcW w:type="dxa" w:w="1872"/>
          </w:tcPr>
          <w:p>
            <w:r>
              <w:rPr>
                <w:rFonts w:ascii="Arial" w:hAnsi="Arial"/>
                <w:sz w:val="18"/>
              </w:rPr>
              <w:t>14B</w:t>
            </w:r>
          </w:p>
        </w:tc>
        <w:tc>
          <w:tcPr>
            <w:tcW w:type="dxa" w:w="1872"/>
          </w:tcPr>
          <w:p>
            <w:r>
              <w:rPr>
                <w:rFonts w:ascii="Arial" w:hAnsi="Arial"/>
                <w:sz w:val="18"/>
              </w:rPr>
              <w:t>FP16</w:t>
            </w:r>
          </w:p>
        </w:tc>
        <w:tc>
          <w:tcPr>
            <w:tcW w:type="dxa" w:w="1872"/>
          </w:tcPr>
          <w:p>
            <w:r>
              <w:rPr>
                <w:rFonts w:ascii="Arial" w:hAnsi="Arial"/>
                <w:sz w:val="18"/>
              </w:rPr>
              <w:t>28GB</w:t>
            </w:r>
          </w:p>
        </w:tc>
        <w:tc>
          <w:tcPr>
            <w:tcW w:type="dxa" w:w="1872"/>
          </w:tcPr>
          <w:p>
            <w:r>
              <w:rPr>
                <w:rFonts w:ascii="Arial" w:hAnsi="Arial"/>
                <w:sz w:val="18"/>
              </w:rPr>
              <w:t>Single A100</w:t>
            </w:r>
          </w:p>
        </w:tc>
        <w:tc>
          <w:tcPr>
            <w:tcW w:type="dxa" w:w="1872"/>
          </w:tcPr>
          <w:p>
            <w:r>
              <w:rPr>
                <w:rFonts w:ascii="Arial" w:hAnsi="Arial"/>
                <w:sz w:val="18"/>
              </w:rPr>
              <w:t>~2000</w:t>
            </w:r>
          </w:p>
        </w:tc>
      </w:tr>
      <w:tr>
        <w:tc>
          <w:tcPr>
            <w:tcW w:type="dxa" w:w="1872"/>
          </w:tcPr>
          <w:p>
            <w:r>
              <w:rPr>
                <w:rFonts w:ascii="Arial" w:hAnsi="Arial"/>
                <w:sz w:val="18"/>
              </w:rPr>
              <w:t>32B</w:t>
            </w:r>
          </w:p>
        </w:tc>
        <w:tc>
          <w:tcPr>
            <w:tcW w:type="dxa" w:w="1872"/>
          </w:tcPr>
          <w:p>
            <w:r>
              <w:rPr>
                <w:rFonts w:ascii="Arial" w:hAnsi="Arial"/>
                <w:sz w:val="18"/>
              </w:rPr>
              <w:t>FP16</w:t>
            </w:r>
          </w:p>
        </w:tc>
        <w:tc>
          <w:tcPr>
            <w:tcW w:type="dxa" w:w="1872"/>
          </w:tcPr>
          <w:p>
            <w:r>
              <w:rPr>
                <w:rFonts w:ascii="Arial" w:hAnsi="Arial"/>
                <w:sz w:val="18"/>
              </w:rPr>
              <w:t>64GB</w:t>
            </w:r>
          </w:p>
        </w:tc>
        <w:tc>
          <w:tcPr>
            <w:tcW w:type="dxa" w:w="1872"/>
          </w:tcPr>
          <w:p>
            <w:r>
              <w:rPr>
                <w:rFonts w:ascii="Arial" w:hAnsi="Arial"/>
                <w:sz w:val="18"/>
              </w:rPr>
              <w:t>Single H100 80G</w:t>
            </w:r>
          </w:p>
        </w:tc>
        <w:tc>
          <w:tcPr>
            <w:tcW w:type="dxa" w:w="1872"/>
          </w:tcPr>
          <w:p>
            <w:r>
              <w:rPr>
                <w:rFonts w:ascii="Arial" w:hAnsi="Arial"/>
                <w:sz w:val="18"/>
              </w:rPr>
              <w:t>~1200</w:t>
            </w:r>
          </w:p>
        </w:tc>
      </w:tr>
      <w:tr>
        <w:tc>
          <w:tcPr>
            <w:tcW w:type="dxa" w:w="1872"/>
          </w:tcPr>
          <w:p>
            <w:r>
              <w:rPr>
                <w:rFonts w:ascii="Arial" w:hAnsi="Arial"/>
                <w:sz w:val="18"/>
              </w:rPr>
              <w:t>72B</w:t>
            </w:r>
          </w:p>
        </w:tc>
        <w:tc>
          <w:tcPr>
            <w:tcW w:type="dxa" w:w="1872"/>
          </w:tcPr>
          <w:p>
            <w:r>
              <w:rPr>
                <w:rFonts w:ascii="Arial" w:hAnsi="Arial"/>
                <w:sz w:val="18"/>
              </w:rPr>
              <w:t>FP16</w:t>
            </w:r>
          </w:p>
        </w:tc>
        <w:tc>
          <w:tcPr>
            <w:tcW w:type="dxa" w:w="1872"/>
          </w:tcPr>
          <w:p>
            <w:r>
              <w:rPr>
                <w:rFonts w:ascii="Arial" w:hAnsi="Arial"/>
                <w:sz w:val="18"/>
              </w:rPr>
              <w:t>144GB</w:t>
            </w:r>
          </w:p>
        </w:tc>
        <w:tc>
          <w:tcPr>
            <w:tcW w:type="dxa" w:w="1872"/>
          </w:tcPr>
          <w:p>
            <w:r>
              <w:rPr>
                <w:rFonts w:ascii="Arial" w:hAnsi="Arial"/>
                <w:sz w:val="18"/>
              </w:rPr>
              <w:t>2×H100 (TP=2)</w:t>
            </w:r>
          </w:p>
        </w:tc>
        <w:tc>
          <w:tcPr>
            <w:tcW w:type="dxa" w:w="1872"/>
          </w:tcPr>
          <w:p>
            <w:r>
              <w:rPr>
                <w:rFonts w:ascii="Arial" w:hAnsi="Arial"/>
                <w:sz w:val="18"/>
              </w:rPr>
              <w:t>~800</w:t>
            </w:r>
          </w:p>
        </w:tc>
      </w:tr>
      <w:tr>
        <w:tc>
          <w:tcPr>
            <w:tcW w:type="dxa" w:w="1872"/>
          </w:tcPr>
          <w:p>
            <w:r>
              <w:rPr>
                <w:rFonts w:ascii="Arial" w:hAnsi="Arial"/>
                <w:sz w:val="18"/>
              </w:rPr>
              <w:t>72B</w:t>
            </w:r>
          </w:p>
        </w:tc>
        <w:tc>
          <w:tcPr>
            <w:tcW w:type="dxa" w:w="1872"/>
          </w:tcPr>
          <w:p>
            <w:r>
              <w:rPr>
                <w:rFonts w:ascii="Arial" w:hAnsi="Arial"/>
                <w:sz w:val="18"/>
              </w:rPr>
              <w:t>INT4</w:t>
            </w:r>
          </w:p>
        </w:tc>
        <w:tc>
          <w:tcPr>
            <w:tcW w:type="dxa" w:w="1872"/>
          </w:tcPr>
          <w:p>
            <w:r>
              <w:rPr>
                <w:rFonts w:ascii="Arial" w:hAnsi="Arial"/>
                <w:sz w:val="18"/>
              </w:rPr>
              <w:t>36GB</w:t>
            </w:r>
          </w:p>
        </w:tc>
        <w:tc>
          <w:tcPr>
            <w:tcW w:type="dxa" w:w="1872"/>
          </w:tcPr>
          <w:p>
            <w:r>
              <w:rPr>
                <w:rFonts w:ascii="Arial" w:hAnsi="Arial"/>
                <w:sz w:val="18"/>
              </w:rPr>
              <w:t>Single H100 80G</w:t>
            </w:r>
          </w:p>
        </w:tc>
        <w:tc>
          <w:tcPr>
            <w:tcW w:type="dxa" w:w="1872"/>
          </w:tcPr>
          <w:p>
            <w:r>
              <w:rPr>
                <w:rFonts w:ascii="Arial" w:hAnsi="Arial"/>
                <w:sz w:val="18"/>
              </w:rPr>
              <w:t>~1500</w:t>
            </w:r>
          </w:p>
        </w:tc>
      </w:tr>
    </w:tbl>
    <w:p>
      <w:r>
        <w:rPr>
          <w:rFonts w:ascii="Arial" w:hAnsi="Arial"/>
          <w:b/>
          <w:sz w:val="22"/>
        </w:rPr>
        <w:t>5.3 Production Deployment Architecture</w:t>
      </w:r>
    </w:p>
    <w:p>
      <w:r>
        <w:rPr>
          <w:rFonts w:ascii="Arial" w:hAnsi="Arial"/>
          <w:b/>
          <w:sz w:val="22"/>
        </w:rPr>
        <w:t>5.3.1 Four-Layer Service Architecture</w:t>
      </w:r>
    </w:p>
    <w:p>
      <w:pPr>
        <w:pStyle w:val="ListNumber"/>
      </w:pPr>
      <w:r>
        <w:rPr>
          <w:rFonts w:ascii="Arial" w:hAnsi="Arial"/>
          <w:b/>
          <w:sz w:val="22"/>
        </w:rPr>
        <w:t>Access Layer: Nginx / Envoy</w:t>
      </w:r>
    </w:p>
    <w:p>
      <w:pPr>
        <w:pStyle w:val="ListBullet"/>
      </w:pPr>
      <w:r>
        <w:rPr>
          <w:rFonts w:ascii="Arial" w:hAnsi="Arial"/>
          <w:sz w:val="22"/>
        </w:rPr>
        <w:t>SSL termination, load balancing</w:t>
      </w:r>
    </w:p>
    <w:p>
      <w:pPr>
        <w:pStyle w:val="ListBullet"/>
      </w:pPr>
      <w:r>
        <w:rPr>
          <w:rFonts w:ascii="Arial" w:hAnsi="Arial"/>
          <w:sz w:val="22"/>
        </w:rPr>
        <w:t>Rate limiting, circuit breaking, degradation</w:t>
      </w:r>
    </w:p>
    <w:p>
      <w:pPr>
        <w:pStyle w:val="ListBullet"/>
      </w:pPr>
      <w:r>
        <w:rPr>
          <w:rFonts w:ascii="Arial" w:hAnsi="Arial"/>
          <w:sz w:val="22"/>
        </w:rPr>
        <w:t>WAF protection</w:t>
      </w:r>
    </w:p>
    <w:p>
      <w:pPr>
        <w:pStyle w:val="ListNumber"/>
      </w:pPr>
      <w:r>
        <w:rPr>
          <w:rFonts w:ascii="Arial" w:hAnsi="Arial"/>
          <w:b/>
          <w:sz w:val="22"/>
        </w:rPr>
        <w:t>Orchestration Layer: API Gateway + Business Services</w:t>
      </w:r>
    </w:p>
    <w:p>
      <w:pPr>
        <w:pStyle w:val="ListBullet"/>
      </w:pPr>
      <w:r>
        <w:rPr>
          <w:rFonts w:ascii="Arial" w:hAnsi="Arial"/>
          <w:sz w:val="22"/>
        </w:rPr>
        <w:t>Request routing, protocol conversion</w:t>
      </w:r>
    </w:p>
    <w:p>
      <w:pPr>
        <w:pStyle w:val="ListBullet"/>
      </w:pPr>
      <w:r>
        <w:rPr>
          <w:rFonts w:ascii="Arial" w:hAnsi="Arial"/>
          <w:sz w:val="22"/>
        </w:rPr>
        <w:t>Authentication, authorization, access control</w:t>
      </w:r>
    </w:p>
    <w:p>
      <w:pPr>
        <w:pStyle w:val="ListBullet"/>
      </w:pPr>
      <w:r>
        <w:rPr>
          <w:rFonts w:ascii="Arial" w:hAnsi="Arial"/>
          <w:sz w:val="22"/>
        </w:rPr>
        <w:t>Business logic orchestration</w:t>
      </w:r>
    </w:p>
    <w:p>
      <w:pPr>
        <w:pStyle w:val="ListNumber"/>
      </w:pPr>
      <w:r>
        <w:rPr>
          <w:rFonts w:ascii="Arial" w:hAnsi="Arial"/>
          <w:b/>
          <w:sz w:val="22"/>
        </w:rPr>
        <w:t>Model Layer: vLLM Inference Cluster</w:t>
      </w:r>
    </w:p>
    <w:p>
      <w:pPr>
        <w:pStyle w:val="ListBullet"/>
      </w:pPr>
      <w:r>
        <w:rPr>
          <w:rFonts w:ascii="Arial" w:hAnsi="Arial"/>
          <w:sz w:val="22"/>
        </w:rPr>
        <w:t>Multi-model instance deployment</w:t>
      </w:r>
    </w:p>
    <w:p>
      <w:pPr>
        <w:pStyle w:val="ListBullet"/>
      </w:pPr>
      <w:r>
        <w:rPr>
          <w:rFonts w:ascii="Arial" w:hAnsi="Arial"/>
          <w:sz w:val="22"/>
        </w:rPr>
        <w:t>Elastic scaling</w:t>
      </w:r>
    </w:p>
    <w:p>
      <w:pPr>
        <w:pStyle w:val="ListBullet"/>
      </w:pPr>
      <w:r>
        <w:rPr>
          <w:rFonts w:ascii="Arial" w:hAnsi="Arial"/>
          <w:sz w:val="22"/>
        </w:rPr>
        <w:t>Hot model loading</w:t>
      </w:r>
    </w:p>
    <w:p>
      <w:pPr>
        <w:pStyle w:val="ListNumber"/>
      </w:pPr>
      <w:r>
        <w:rPr>
          <w:rFonts w:ascii="Arial" w:hAnsi="Arial"/>
          <w:b/>
          <w:sz w:val="22"/>
        </w:rPr>
        <w:t>Data Layer: Vector Database + Graph Database + Relational Database</w:t>
      </w:r>
    </w:p>
    <w:p>
      <w:pPr>
        <w:pStyle w:val="ListBullet"/>
      </w:pPr>
      <w:r>
        <w:rPr>
          <w:rFonts w:ascii="Arial" w:hAnsi="Arial"/>
          <w:sz w:val="22"/>
        </w:rPr>
        <w:t>Knowledge retrieval</w:t>
      </w:r>
    </w:p>
    <w:p>
      <w:pPr>
        <w:pStyle w:val="ListBullet"/>
      </w:pPr>
      <w:r>
        <w:rPr>
          <w:rFonts w:ascii="Arial" w:hAnsi="Arial"/>
          <w:sz w:val="22"/>
        </w:rPr>
        <w:t>Data persistence</w:t>
      </w:r>
    </w:p>
    <w:p>
      <w:pPr>
        <w:pStyle w:val="ListBullet"/>
      </w:pPr>
      <w:r>
        <w:rPr>
          <w:rFonts w:ascii="Arial" w:hAnsi="Arial"/>
          <w:sz w:val="22"/>
        </w:rPr>
        <w:t>On-chain attestation</w:t>
      </w:r>
    </w:p>
    <w:p>
      <w:r>
        <w:rPr>
          <w:rFonts w:ascii="Arial" w:hAnsi="Arial"/>
          <w:b/>
          <w:sz w:val="22"/>
        </w:rPr>
        <w:t>5.3.2 Kubernetes Deployment</w:t>
      </w:r>
    </w:p>
    <w:p>
      <w:pPr>
        <w:pStyle w:val="ListBullet"/>
      </w:pPr>
      <w:r>
        <w:rPr>
          <w:rFonts w:ascii="Arial" w:hAnsi="Arial"/>
          <w:b/>
          <w:sz w:val="22"/>
        </w:rPr>
        <w:t>Containerization</w:t>
      </w:r>
      <w:r>
        <w:rPr>
          <w:rFonts w:ascii="Arial" w:hAnsi="Arial"/>
          <w:sz w:val="22"/>
        </w:rPr>
        <w:t>: All services containerized with Docker for environment consistency</w:t>
      </w:r>
    </w:p>
    <w:p>
      <w:pPr>
        <w:pStyle w:val="ListBullet"/>
      </w:pPr>
      <w:r>
        <w:rPr>
          <w:rFonts w:ascii="Arial" w:hAnsi="Arial"/>
          <w:b/>
          <w:sz w:val="22"/>
        </w:rPr>
        <w:t>Orchestration and Scheduling</w:t>
      </w:r>
      <w:r>
        <w:rPr>
          <w:rFonts w:ascii="Arial" w:hAnsi="Arial"/>
          <w:sz w:val="22"/>
        </w:rPr>
        <w:t>: K8s unified scheduling of GPU resources</w:t>
      </w:r>
    </w:p>
    <w:p>
      <w:pPr>
        <w:pStyle w:val="ListBullet"/>
      </w:pPr>
      <w:r>
        <w:rPr>
          <w:rFonts w:ascii="Arial" w:hAnsi="Arial"/>
          <w:b/>
          <w:sz w:val="22"/>
        </w:rPr>
        <w:t>Auto Scaling (HPA)</w:t>
      </w:r>
      <w:r>
        <w:rPr>
          <w:rFonts w:ascii="Arial" w:hAnsi="Arial"/>
          <w:sz w:val="22"/>
        </w:rPr>
        <w:t>: Auto scale based on QPS and GPU utilization</w:t>
      </w:r>
    </w:p>
    <w:p>
      <w:pPr>
        <w:pStyle w:val="ListBullet"/>
      </w:pPr>
      <w:r>
        <w:rPr>
          <w:rFonts w:ascii="Arial" w:hAnsi="Arial"/>
          <w:b/>
          <w:sz w:val="22"/>
        </w:rPr>
        <w:t>Rolling Updates</w:t>
      </w:r>
      <w:r>
        <w:rPr>
          <w:rFonts w:ascii="Arial" w:hAnsi="Arial"/>
          <w:sz w:val="22"/>
        </w:rPr>
        <w:t>: Zero-downtime release, canary upgrades</w:t>
      </w:r>
    </w:p>
    <w:p>
      <w:pPr>
        <w:pStyle w:val="ListBullet"/>
      </w:pPr>
      <w:r>
        <w:rPr>
          <w:rFonts w:ascii="Arial" w:hAnsi="Arial"/>
          <w:b/>
          <w:sz w:val="22"/>
        </w:rPr>
        <w:t>Service Discovery</w:t>
      </w:r>
      <w:r>
        <w:rPr>
          <w:rFonts w:ascii="Arial" w:hAnsi="Arial"/>
          <w:sz w:val="22"/>
        </w:rPr>
        <w:t>: K8s Service + CoreDNS</w:t>
      </w:r>
    </w:p>
    <w:p>
      <w:pPr>
        <w:pStyle w:val="ListBullet"/>
      </w:pPr>
      <w:r>
        <w:rPr>
          <w:rFonts w:ascii="Arial" w:hAnsi="Arial"/>
          <w:b/>
          <w:sz w:val="22"/>
        </w:rPr>
        <w:t>Configuration Management</w:t>
      </w:r>
      <w:r>
        <w:rPr>
          <w:rFonts w:ascii="Arial" w:hAnsi="Arial"/>
          <w:sz w:val="22"/>
        </w:rPr>
        <w:t>: ConfigMap + Secret</w:t>
      </w:r>
    </w:p>
    <w:p>
      <w:r>
        <w:rPr>
          <w:rFonts w:ascii="Arial" w:hAnsi="Arial"/>
          <w:b/>
          <w:sz w:val="22"/>
        </w:rPr>
        <w:t>5.4 High Availability Design</w:t>
      </w:r>
    </w:p>
    <w:p>
      <w:r>
        <w:rPr>
          <w:rFonts w:ascii="Arial" w:hAnsi="Arial"/>
          <w:b/>
          <w:sz w:val="22"/>
        </w:rPr>
        <w:t>5.4.1 Multi-Availability Zone Deployment</w:t>
      </w:r>
    </w:p>
    <w:p>
      <w:pPr>
        <w:pStyle w:val="ListBullet"/>
      </w:pPr>
      <w:r>
        <w:rPr>
          <w:rFonts w:ascii="Arial" w:hAnsi="Arial"/>
          <w:sz w:val="22"/>
        </w:rPr>
        <w:t>Deploy across at least 3 availability zones</w:t>
      </w:r>
    </w:p>
    <w:p>
      <w:pPr>
        <w:pStyle w:val="ListBullet"/>
      </w:pPr>
      <w:r>
        <w:rPr>
          <w:rFonts w:ascii="Arial" w:hAnsi="Arial"/>
          <w:sz w:val="22"/>
        </w:rPr>
        <w:t>Single availability zone failure does not affect overall service</w:t>
      </w:r>
    </w:p>
    <w:p>
      <w:pPr>
        <w:pStyle w:val="ListBullet"/>
      </w:pPr>
      <w:r>
        <w:rPr>
          <w:rFonts w:ascii="Arial" w:hAnsi="Arial"/>
          <w:sz w:val="22"/>
        </w:rPr>
        <w:t>Multi-replica data storage with cross-availability zone synchronization</w:t>
      </w:r>
    </w:p>
    <w:p>
      <w:pPr>
        <w:pStyle w:val="ListBullet"/>
      </w:pPr>
      <w:r>
        <w:rPr>
          <w:rFonts w:ascii="Arial" w:hAnsi="Arial"/>
          <w:sz w:val="22"/>
        </w:rPr>
        <w:t>Traffic automatically switches to healthy availability zone</w:t>
      </w:r>
    </w:p>
    <w:p>
      <w:r>
        <w:rPr>
          <w:rFonts w:ascii="Arial" w:hAnsi="Arial"/>
          <w:b/>
          <w:sz w:val="22"/>
        </w:rPr>
        <w:t>5.4.2 Degradation Strategies</w:t>
      </w:r>
    </w:p>
    <w:tbl>
      <w:tblPr>
        <w:tblStyle w:val="LightShading-Accent1"/>
        <w:tblW w:type="auto" w:w="0"/>
        <w:tblLook w:firstColumn="1" w:firstRow="1" w:lastColumn="0" w:lastRow="0" w:noHBand="0" w:noVBand="1" w:val="04A0"/>
      </w:tblPr>
      <w:tblGrid>
        <w:gridCol w:w="3120"/>
        <w:gridCol w:w="3120"/>
        <w:gridCol w:w="3120"/>
      </w:tblGrid>
      <w:tr>
        <w:tc>
          <w:tcPr>
            <w:tcW w:type="dxa" w:w="3120"/>
          </w:tcPr>
          <w:p>
            <w:r>
              <w:rPr>
                <w:rFonts w:ascii="Arial" w:hAnsi="Arial"/>
                <w:b/>
                <w:sz w:val="18"/>
              </w:rPr>
              <w:t>Degradation Level</w:t>
            </w:r>
          </w:p>
        </w:tc>
        <w:tc>
          <w:tcPr>
            <w:tcW w:type="dxa" w:w="3120"/>
          </w:tcPr>
          <w:p>
            <w:r>
              <w:rPr>
                <w:rFonts w:ascii="Arial" w:hAnsi="Arial"/>
                <w:b/>
                <w:sz w:val="18"/>
              </w:rPr>
              <w:t>Trigger Condition</w:t>
            </w:r>
          </w:p>
        </w:tc>
        <w:tc>
          <w:tcPr>
            <w:tcW w:type="dxa" w:w="3120"/>
          </w:tcPr>
          <w:p>
            <w:r>
              <w:rPr>
                <w:rFonts w:ascii="Arial" w:hAnsi="Arial"/>
                <w:b/>
                <w:sz w:val="18"/>
              </w:rPr>
              <w:t>Degradation Measures</w:t>
            </w:r>
          </w:p>
        </w:tc>
      </w:tr>
      <w:tr>
        <w:tc>
          <w:tcPr>
            <w:tcW w:type="dxa" w:w="3120"/>
          </w:tcPr>
          <w:p>
            <w:r>
              <w:rPr>
                <w:rFonts w:ascii="Arial" w:hAnsi="Arial"/>
                <w:sz w:val="18"/>
              </w:rPr>
              <w:t>Level 1</w:t>
            </w:r>
          </w:p>
        </w:tc>
        <w:tc>
          <w:tcPr>
            <w:tcW w:type="dxa" w:w="3120"/>
          </w:tcPr>
          <w:p>
            <w:r>
              <w:rPr>
                <w:rFonts w:ascii="Arial" w:hAnsi="Arial"/>
                <w:sz w:val="18"/>
              </w:rPr>
              <w:t>Load exceeds 80%</w:t>
            </w:r>
          </w:p>
        </w:tc>
        <w:tc>
          <w:tcPr>
            <w:tcW w:type="dxa" w:w="3120"/>
          </w:tcPr>
          <w:p>
            <w:r>
              <w:rPr>
                <w:rFonts w:ascii="Arial" w:hAnsi="Arial"/>
                <w:sz w:val="18"/>
              </w:rPr>
              <w:t>Disable non-core functions, prioritize core modules</w:t>
            </w:r>
          </w:p>
        </w:tc>
      </w:tr>
      <w:tr>
        <w:tc>
          <w:tcPr>
            <w:tcW w:type="dxa" w:w="3120"/>
          </w:tcPr>
          <w:p>
            <w:r>
              <w:rPr>
                <w:rFonts w:ascii="Arial" w:hAnsi="Arial"/>
                <w:sz w:val="18"/>
              </w:rPr>
              <w:t>Level 2</w:t>
            </w:r>
          </w:p>
        </w:tc>
        <w:tc>
          <w:tcPr>
            <w:tcW w:type="dxa" w:w="3120"/>
          </w:tcPr>
          <w:p>
            <w:r>
              <w:rPr>
                <w:rFonts w:ascii="Arial" w:hAnsi="Arial"/>
                <w:sz w:val="18"/>
              </w:rPr>
              <w:t>Large model unavailable</w:t>
            </w:r>
          </w:p>
        </w:tc>
        <w:tc>
          <w:tcPr>
            <w:tcW w:type="dxa" w:w="3120"/>
          </w:tcPr>
          <w:p>
            <w:r>
              <w:rPr>
                <w:rFonts w:ascii="Arial" w:hAnsi="Arial"/>
                <w:sz w:val="18"/>
              </w:rPr>
              <w:t>Switch to small/medium models, reduce inference precision</w:t>
            </w:r>
          </w:p>
        </w:tc>
      </w:tr>
      <w:tr>
        <w:tc>
          <w:tcPr>
            <w:tcW w:type="dxa" w:w="3120"/>
          </w:tcPr>
          <w:p>
            <w:r>
              <w:rPr>
                <w:rFonts w:ascii="Arial" w:hAnsi="Arial"/>
                <w:sz w:val="18"/>
              </w:rPr>
              <w:t>Level 3</w:t>
            </w:r>
          </w:p>
        </w:tc>
        <w:tc>
          <w:tcPr>
            <w:tcW w:type="dxa" w:w="3120"/>
          </w:tcPr>
          <w:p>
            <w:r>
              <w:rPr>
                <w:rFonts w:ascii="Arial" w:hAnsi="Arial"/>
                <w:sz w:val="18"/>
              </w:rPr>
              <w:t>All AI unavailable</w:t>
            </w:r>
          </w:p>
        </w:tc>
        <w:tc>
          <w:tcPr>
            <w:tcW w:type="dxa" w:w="3120"/>
          </w:tcPr>
          <w:p>
            <w:r>
              <w:rPr>
                <w:rFonts w:ascii="Arial" w:hAnsi="Arial"/>
                <w:sz w:val="18"/>
              </w:rPr>
              <w:t>Switch to pure rule engine, ensure basic functionality</w:t>
            </w:r>
          </w:p>
        </w:tc>
      </w:tr>
      <w:tr>
        <w:tc>
          <w:tcPr>
            <w:tcW w:type="dxa" w:w="3120"/>
          </w:tcPr>
          <w:p>
            <w:r>
              <w:rPr>
                <w:rFonts w:ascii="Arial" w:hAnsi="Arial"/>
                <w:sz w:val="18"/>
              </w:rPr>
              <w:t>Level 4</w:t>
            </w:r>
          </w:p>
        </w:tc>
        <w:tc>
          <w:tcPr>
            <w:tcW w:type="dxa" w:w="3120"/>
          </w:tcPr>
          <w:p>
            <w:r>
              <w:rPr>
                <w:rFonts w:ascii="Arial" w:hAnsi="Arial"/>
                <w:sz w:val="18"/>
              </w:rPr>
              <w:t>System-level failure</w:t>
            </w:r>
          </w:p>
        </w:tc>
        <w:tc>
          <w:tcPr>
            <w:tcW w:type="dxa" w:w="3120"/>
          </w:tcPr>
          <w:p>
            <w:r>
              <w:rPr>
                <w:rFonts w:ascii="Arial" w:hAnsi="Arial"/>
                <w:sz w:val="18"/>
              </w:rPr>
              <w:t>Completely shut down AI system, manual takeover</w:t>
            </w:r>
          </w:p>
        </w:tc>
      </w:tr>
    </w:tbl>
    <w:p>
      <w:r>
        <w:rPr>
          <w:rFonts w:ascii="Arial" w:hAnsi="Arial"/>
          <w:b/>
          <w:sz w:val="22"/>
        </w:rPr>
        <w:t>5.5 Monitoring and Observability</w:t>
      </w:r>
    </w:p>
    <w:p>
      <w:r>
        <w:rPr>
          <w:rFonts w:ascii="Arial" w:hAnsi="Arial"/>
          <w:b/>
          <w:sz w:val="22"/>
        </w:rPr>
        <w:t>5.5.1 Monitoring Metrics System</w:t>
      </w:r>
    </w:p>
    <w:tbl>
      <w:tblPr>
        <w:tblStyle w:val="LightShading-Accent1"/>
        <w:tblW w:type="auto" w:w="0"/>
        <w:tblLook w:firstColumn="1" w:firstRow="1" w:lastColumn="0" w:lastRow="0" w:noHBand="0" w:noVBand="1" w:val="04A0"/>
      </w:tblPr>
      <w:tblGrid>
        <w:gridCol w:w="3120"/>
        <w:gridCol w:w="3120"/>
        <w:gridCol w:w="3120"/>
      </w:tblGrid>
      <w:tr>
        <w:tc>
          <w:tcPr>
            <w:tcW w:type="dxa" w:w="3120"/>
          </w:tcPr>
          <w:p>
            <w:r>
              <w:rPr>
                <w:rFonts w:ascii="Arial" w:hAnsi="Arial"/>
                <w:b/>
                <w:sz w:val="18"/>
              </w:rPr>
              <w:t>System Metrics</w:t>
            </w:r>
          </w:p>
        </w:tc>
        <w:tc>
          <w:tcPr>
            <w:tcW w:type="dxa" w:w="3120"/>
          </w:tcPr>
          <w:p>
            <w:r>
              <w:rPr>
                <w:rFonts w:ascii="Arial" w:hAnsi="Arial"/>
                <w:b/>
                <w:sz w:val="18"/>
              </w:rPr>
              <w:t>Business Metrics</w:t>
            </w:r>
          </w:p>
        </w:tc>
        <w:tc>
          <w:tcPr>
            <w:tcW w:type="dxa" w:w="3120"/>
          </w:tcPr>
          <w:p>
            <w:r>
              <w:rPr>
                <w:rFonts w:ascii="Arial" w:hAnsi="Arial"/>
                <w:b/>
                <w:sz w:val="18"/>
              </w:rPr>
              <w:t>Security Metrics</w:t>
            </w:r>
          </w:p>
        </w:tc>
      </w:tr>
      <w:tr>
        <w:tc>
          <w:tcPr>
            <w:tcW w:type="dxa" w:w="3120"/>
          </w:tcPr>
          <w:p>
            <w:r>
              <w:rPr>
                <w:rFonts w:ascii="Arial" w:hAnsi="Arial"/>
                <w:sz w:val="18"/>
              </w:rPr>
              <w:t>-   GPU utilization</w:t>
            </w:r>
          </w:p>
        </w:tc>
        <w:tc>
          <w:tcPr>
            <w:tcW w:type="dxa" w:w="3120"/>
          </w:tcPr>
          <w:p>
            <w:r>
              <w:rPr>
                <w:rFonts w:ascii="Arial" w:hAnsi="Arial"/>
                <w:sz w:val="18"/>
              </w:rPr>
              <w:t>-   Module call volumes</w:t>
            </w:r>
          </w:p>
        </w:tc>
        <w:tc>
          <w:tcPr>
            <w:tcW w:type="dxa" w:w="3120"/>
          </w:tcPr>
          <w:p>
            <w:r>
              <w:rPr>
                <w:rFonts w:ascii="Arial" w:hAnsi="Arial"/>
                <w:sz w:val="18"/>
              </w:rPr>
              <w:t>-   Attack detection counts</w:t>
            </w:r>
          </w:p>
        </w:tc>
      </w:tr>
      <w:tr>
        <w:tc>
          <w:tcPr>
            <w:tcW w:type="dxa" w:w="3120"/>
          </w:tcPr>
          <w:p>
            <w:r>
              <w:rPr>
                <w:rFonts w:ascii="Arial" w:hAnsi="Arial"/>
                <w:sz w:val="18"/>
              </w:rPr>
              <w:t>-   VRAM usage</w:t>
            </w:r>
          </w:p>
        </w:tc>
        <w:tc>
          <w:tcPr>
            <w:tcW w:type="dxa" w:w="3120"/>
          </w:tcPr>
          <w:p>
            <w:r>
              <w:rPr>
                <w:rFonts w:ascii="Arial" w:hAnsi="Arial"/>
                <w:sz w:val="18"/>
              </w:rPr>
              <w:t>-   Decision accuracy</w:t>
            </w:r>
          </w:p>
        </w:tc>
        <w:tc>
          <w:tcPr>
            <w:tcW w:type="dxa" w:w="3120"/>
          </w:tcPr>
          <w:p>
            <w:r>
              <w:rPr>
                <w:rFonts w:ascii="Arial" w:hAnsi="Arial"/>
                <w:sz w:val="18"/>
              </w:rPr>
              <w:t>-   Anomaly behavior alerts</w:t>
            </w:r>
          </w:p>
        </w:tc>
      </w:tr>
      <w:tr>
        <w:tc>
          <w:tcPr>
            <w:tcW w:type="dxa" w:w="3120"/>
          </w:tcPr>
          <w:p>
            <w:r>
              <w:rPr>
                <w:rFonts w:ascii="Arial" w:hAnsi="Arial"/>
                <w:sz w:val="18"/>
              </w:rPr>
              <w:t>-   Throughput (token/s)</w:t>
            </w:r>
          </w:p>
        </w:tc>
        <w:tc>
          <w:tcPr>
            <w:tcW w:type="dxa" w:w="3120"/>
          </w:tcPr>
          <w:p>
            <w:r>
              <w:rPr>
                <w:rFonts w:ascii="Arial" w:hAnsi="Arial"/>
                <w:sz w:val="18"/>
              </w:rPr>
              <w:t>-   Manual intervention rate</w:t>
            </w:r>
          </w:p>
        </w:tc>
        <w:tc>
          <w:tcPr>
            <w:tcW w:type="dxa" w:w="3120"/>
          </w:tcPr>
          <w:p>
            <w:r>
              <w:rPr>
                <w:rFonts w:ascii="Arial" w:hAnsi="Arial"/>
                <w:sz w:val="18"/>
              </w:rPr>
              <w:t>-   Bias detection results</w:t>
            </w:r>
          </w:p>
        </w:tc>
      </w:tr>
      <w:tr>
        <w:tc>
          <w:tcPr>
            <w:tcW w:type="dxa" w:w="3120"/>
          </w:tcPr>
          <w:p>
            <w:r>
              <w:rPr>
                <w:rFonts w:ascii="Arial" w:hAnsi="Arial"/>
                <w:sz w:val="18"/>
              </w:rPr>
              <w:t>-   Latency (P50/P95/P99)</w:t>
            </w:r>
          </w:p>
        </w:tc>
        <w:tc>
          <w:tcPr>
            <w:tcW w:type="dxa" w:w="3120"/>
          </w:tcPr>
          <w:p>
            <w:r>
              <w:rPr>
                <w:rFonts w:ascii="Arial" w:hAnsi="Arial"/>
                <w:sz w:val="18"/>
              </w:rPr>
              <w:t>-   Appeal rate</w:t>
            </w:r>
          </w:p>
        </w:tc>
        <w:tc>
          <w:tcPr>
            <w:tcW w:type="dxa" w:w="3120"/>
          </w:tcPr>
          <w:p>
            <w:r>
              <w:rPr>
                <w:rFonts w:ascii="Arial" w:hAnsi="Arial"/>
                <w:sz w:val="18"/>
              </w:rPr>
              <w:t>-   Audit pass rate</w:t>
            </w:r>
          </w:p>
        </w:tc>
      </w:tr>
      <w:tr>
        <w:tc>
          <w:tcPr>
            <w:tcW w:type="dxa" w:w="3120"/>
          </w:tcPr>
          <w:p>
            <w:r>
              <w:rPr>
                <w:rFonts w:ascii="Arial" w:hAnsi="Arial"/>
                <w:sz w:val="18"/>
              </w:rPr>
              <w:t>-   Error rate</w:t>
            </w:r>
          </w:p>
        </w:tc>
        <w:tc>
          <w:tcPr>
            <w:tcW w:type="dxa" w:w="3120"/>
          </w:tcPr>
          <w:p>
            <w:r>
              <w:rPr>
                <w:rFonts w:ascii="Arial" w:hAnsi="Arial"/>
                <w:sz w:val="18"/>
              </w:rPr>
              <w:t>-   User satisfaction</w:t>
            </w:r>
          </w:p>
        </w:tc>
        <w:tc>
          <w:tcPr>
            <w:tcW w:type="dxa" w:w="3120"/>
          </w:tcPr>
          <w:p>
            <w:r>
              <w:rPr>
                <w:rFonts w:ascii="Arial" w:hAnsi="Arial"/>
                <w:sz w:val="18"/>
              </w:rPr>
              <w:t>-   Model divergence rate</w:t>
            </w:r>
          </w:p>
        </w:tc>
      </w:tr>
    </w:tbl>
    <w:p>
      <w:r>
        <w:rPr>
          <w:rFonts w:ascii="Arial" w:hAnsi="Arial"/>
          <w:b/>
          <w:sz w:val="22"/>
        </w:rPr>
        <w:t>5.5.2 Logging and Auditing</w:t>
      </w:r>
    </w:p>
    <w:p>
      <w:pPr>
        <w:pStyle w:val="ListBullet"/>
      </w:pPr>
      <w:r>
        <w:rPr>
          <w:rFonts w:ascii="Arial" w:hAnsi="Arial"/>
          <w:b/>
          <w:sz w:val="22"/>
        </w:rPr>
        <w:t>Full-chain Tracing</w:t>
      </w:r>
      <w:r>
        <w:rPr>
          <w:rFonts w:ascii="Arial" w:hAnsi="Arial"/>
          <w:sz w:val="22"/>
        </w:rPr>
        <w:t>: Complete chain tracing for each request from entry to exit</w:t>
      </w:r>
    </w:p>
    <w:p>
      <w:pPr>
        <w:pStyle w:val="ListBullet"/>
      </w:pPr>
      <w:r>
        <w:rPr>
          <w:rFonts w:ascii="Arial" w:hAnsi="Arial"/>
          <w:b/>
          <w:sz w:val="22"/>
        </w:rPr>
        <w:t>Decision Logs</w:t>
      </w:r>
      <w:r>
        <w:rPr>
          <w:rFonts w:ascii="Arial" w:hAnsi="Arial"/>
          <w:sz w:val="22"/>
        </w:rPr>
        <w:t>: Complete records of all decisions, including inputs, reasoning chains, and outputs</w:t>
      </w:r>
    </w:p>
    <w:p>
      <w:pPr>
        <w:pStyle w:val="ListBullet"/>
      </w:pPr>
      <w:r>
        <w:rPr>
          <w:rFonts w:ascii="Arial" w:hAnsi="Arial"/>
          <w:b/>
          <w:sz w:val="22"/>
        </w:rPr>
        <w:t>Operation Logs</w:t>
      </w:r>
      <w:r>
        <w:rPr>
          <w:rFonts w:ascii="Arial" w:hAnsi="Arial"/>
          <w:sz w:val="22"/>
        </w:rPr>
        <w:t>: Records of all system operations and configuration changes</w:t>
      </w:r>
    </w:p>
    <w:p>
      <w:pPr>
        <w:pStyle w:val="ListBullet"/>
      </w:pPr>
      <w:r>
        <w:rPr>
          <w:rFonts w:ascii="Arial" w:hAnsi="Arial"/>
          <w:b/>
          <w:sz w:val="22"/>
        </w:rPr>
        <w:t>On-chain Attestation</w:t>
      </w:r>
      <w:r>
        <w:rPr>
          <w:rFonts w:ascii="Arial" w:hAnsi="Arial"/>
          <w:sz w:val="22"/>
        </w:rPr>
        <w:t>: Critical log hashes recorded on-chain, tamper-proof</w:t>
      </w:r>
    </w:p>
    <w:p>
      <w:pPr>
        <w:pStyle w:val="ListBullet"/>
      </w:pPr>
      <w:r>
        <w:rPr>
          <w:rFonts w:ascii="Arial" w:hAnsi="Arial"/>
          <w:b/>
          <w:sz w:val="22"/>
        </w:rPr>
        <w:t>Log Retention</w:t>
      </w:r>
      <w:r>
        <w:rPr>
          <w:rFonts w:ascii="Arial" w:hAnsi="Arial"/>
          <w:sz w:val="22"/>
        </w:rPr>
        <w:t>: Audit logs retained for a minimum of 10 years</w:t>
      </w:r>
    </w:p>
    <w:p>
      <w:r>
        <w:rPr>
          <w:rFonts w:ascii="Arial" w:hAnsi="Arial"/>
          <w:b/>
          <w:sz w:val="22"/>
        </w:rPr>
        <w:t>5.6 Disaster Recovery</w:t>
      </w:r>
    </w:p>
    <w:p>
      <w:r>
        <w:rPr>
          <w:rFonts w:ascii="Arial" w:hAnsi="Arial"/>
          <w:b/>
          <w:sz w:val="22"/>
        </w:rPr>
        <w:t>5.6.1 Data Backup</w:t>
      </w:r>
    </w:p>
    <w:p>
      <w:pPr>
        <w:pStyle w:val="ListBullet"/>
      </w:pPr>
      <w:r>
        <w:rPr>
          <w:rFonts w:ascii="Arial" w:hAnsi="Arial"/>
          <w:sz w:val="22"/>
        </w:rPr>
        <w:t>Full backup: Daily full backup</w:t>
      </w:r>
    </w:p>
    <w:p>
      <w:pPr>
        <w:pStyle w:val="ListBullet"/>
      </w:pPr>
      <w:r>
        <w:rPr>
          <w:rFonts w:ascii="Arial" w:hAnsi="Arial"/>
          <w:sz w:val="22"/>
        </w:rPr>
        <w:t>Incremental backup: Hourly incremental backup</w:t>
      </w:r>
    </w:p>
    <w:p>
      <w:pPr>
        <w:pStyle w:val="ListBullet"/>
      </w:pPr>
      <w:r>
        <w:rPr>
          <w:rFonts w:ascii="Arial" w:hAnsi="Arial"/>
          <w:sz w:val="22"/>
        </w:rPr>
        <w:t>Off-site backup: Backup data stored in remote data centers</w:t>
      </w:r>
    </w:p>
    <w:p>
      <w:pPr>
        <w:pStyle w:val="ListBullet"/>
      </w:pPr>
      <w:r>
        <w:rPr>
          <w:rFonts w:ascii="Arial" w:hAnsi="Arial"/>
          <w:sz w:val="22"/>
        </w:rPr>
        <w:t>Backup verification: Regular restoration testing to ensure backup availability</w:t>
      </w:r>
    </w:p>
    <w:p>
      <w:r>
        <w:rPr>
          <w:rFonts w:ascii="Arial" w:hAnsi="Arial"/>
          <w:b/>
          <w:sz w:val="22"/>
        </w:rPr>
        <w:t>5.6.2 Disaster Recovery</w:t>
      </w:r>
    </w:p>
    <w:p>
      <w:pPr>
        <w:pStyle w:val="ListBullet"/>
      </w:pPr>
      <w:r>
        <w:rPr>
          <w:rFonts w:ascii="Arial" w:hAnsi="Arial"/>
          <w:sz w:val="22"/>
        </w:rPr>
        <w:t>RPO (Recovery Point Objective): ≤1 hour</w:t>
      </w:r>
    </w:p>
    <w:p>
      <w:pPr>
        <w:pStyle w:val="ListBullet"/>
      </w:pPr>
      <w:r>
        <w:rPr>
          <w:rFonts w:ascii="Arial" w:hAnsi="Arial"/>
          <w:sz w:val="22"/>
        </w:rPr>
        <w:t>RTO (Recovery Time Objective): ≤4 hours</w:t>
      </w:r>
    </w:p>
    <w:p>
      <w:pPr>
        <w:pStyle w:val="ListBullet"/>
      </w:pPr>
      <w:r>
        <w:rPr>
          <w:rFonts w:ascii="Arial" w:hAnsi="Arial"/>
          <w:sz w:val="22"/>
        </w:rPr>
        <w:t>Annual disaster recovery drill: At least once per year</w:t>
      </w:r>
    </w:p>
    <w:p>
      <w:pPr>
        <w:pStyle w:val="ListBullet"/>
      </w:pPr>
      <w:r>
        <w:rPr>
          <w:rFonts w:ascii="Arial" w:hAnsi="Arial"/>
          <w:sz w:val="22"/>
        </w:rPr>
        <w:t>Multi-active architecture: Core systems deployed in multi-active configuration, single datacenter failure does not cause interruption</w:t>
      </w:r>
    </w:p>
    <w:p>
      <w:r>
        <w:rPr>
          <w:rFonts w:ascii="Arial" w:hAnsi="Arial"/>
          <w:b/>
          <w:sz w:val="22"/>
        </w:rPr>
        <w:t>Six. Security and Alignment Mechanism</w:t>
      </w:r>
    </w:p>
    <w:p>
      <w:r>
        <w:rPr>
          <w:rFonts w:ascii="Arial" w:hAnsi="Arial"/>
          <w:sz w:val="22"/>
        </w:rPr>
        <w:t>Constitutional hard constraints, explainability, deviation detection</w:t>
      </w:r>
    </w:p>
    <w:p>
      <w:r>
        <w:rPr>
          <w:rFonts w:ascii="Arial" w:hAnsi="Arial"/>
          <w:b/>
          <w:sz w:val="22"/>
        </w:rPr>
        <w:t>6.1 Five-Layer Deep Defense System</w:t>
      </w:r>
    </w:p>
    <w:tbl>
      <w:tblPr>
        <w:tblStyle w:val="LightShading-Accent1"/>
        <w:tblW w:type="auto" w:w="0"/>
        <w:tblLook w:firstColumn="1" w:firstRow="1" w:lastColumn="0" w:lastRow="0" w:noHBand="0" w:noVBand="1" w:val="04A0"/>
      </w:tblPr>
      <w:tblGrid>
        <w:gridCol w:w="9360"/>
      </w:tblGrid>
      <w:tr>
        <w:tc>
          <w:tcPr>
            <w:tcW w:type="dxa" w:w="9360"/>
          </w:tcPr>
          <w:p>
            <w:r>
              <w:rPr>
                <w:rFonts w:ascii="Arial" w:hAnsi="Arial"/>
                <w:b/>
                <w:sz w:val="18"/>
              </w:rPr>
              <w:t>Design Principle: Any single layer failure shall not cause systemic security collapse; multiple independent protection mechanisms are layered</w:t>
            </w:r>
          </w:p>
        </w:tc>
      </w:tr>
    </w:tbl>
    <w:tbl>
      <w:tblPr>
        <w:tblStyle w:val="LightShading-Accent1"/>
        <w:tblW w:type="auto" w:w="0"/>
        <w:tblLook w:firstColumn="1" w:firstRow="1" w:lastColumn="0" w:lastRow="0" w:noHBand="0" w:noVBand="1" w:val="04A0"/>
      </w:tblPr>
      <w:tblGrid>
        <w:gridCol w:w="3120"/>
        <w:gridCol w:w="3120"/>
        <w:gridCol w:w="3120"/>
      </w:tblGrid>
      <w:tr>
        <w:tc>
          <w:tcPr>
            <w:tcW w:type="dxa" w:w="3120"/>
          </w:tcPr>
          <w:p>
            <w:r>
              <w:rPr>
                <w:rFonts w:ascii="Arial" w:hAnsi="Arial"/>
                <w:b/>
                <w:sz w:val="18"/>
              </w:rPr>
              <w:t>Layer</w:t>
            </w:r>
          </w:p>
        </w:tc>
        <w:tc>
          <w:tcPr>
            <w:tcW w:type="dxa" w:w="3120"/>
          </w:tcPr>
          <w:p>
            <w:r>
              <w:rPr>
                <w:rFonts w:ascii="Arial" w:hAnsi="Arial"/>
                <w:b/>
                <w:sz w:val="18"/>
              </w:rPr>
              <w:t>Protection Mechanism</w:t>
            </w:r>
          </w:p>
        </w:tc>
        <w:tc>
          <w:tcPr>
            <w:tcW w:type="dxa" w:w="3120"/>
          </w:tcPr>
          <w:p>
            <w:r>
              <w:rPr>
                <w:rFonts w:ascii="Arial" w:hAnsi="Arial"/>
                <w:b/>
                <w:sz w:val="18"/>
              </w:rPr>
              <w:t>Description</w:t>
            </w:r>
          </w:p>
        </w:tc>
      </w:tr>
      <w:tr>
        <w:tc>
          <w:tcPr>
            <w:tcW w:type="dxa" w:w="3120"/>
          </w:tcPr>
          <w:p>
            <w:r>
              <w:rPr>
                <w:rFonts w:ascii="Arial" w:hAnsi="Arial"/>
                <w:sz w:val="18"/>
              </w:rPr>
              <w:t>First Layer</w:t>
            </w:r>
          </w:p>
        </w:tc>
        <w:tc>
          <w:tcPr>
            <w:tcW w:type="dxa" w:w="3120"/>
          </w:tcPr>
          <w:p>
            <w:r>
              <w:rPr>
                <w:rFonts w:ascii="Arial" w:hAnsi="Arial"/>
                <w:sz w:val="18"/>
              </w:rPr>
              <w:t>Constitutional Hard Constraints</w:t>
            </w:r>
          </w:p>
        </w:tc>
        <w:tc>
          <w:tcPr>
            <w:tcW w:type="dxa" w:w="3120"/>
          </w:tcPr>
          <w:p>
            <w:r>
              <w:rPr>
                <w:rFonts w:ascii="Arial" w:hAnsi="Arial"/>
                <w:sz w:val="18"/>
              </w:rPr>
              <w:t>Implemented as non-bypassable constraints in the code layer; absolute boundaries of AI power</w:t>
            </w:r>
          </w:p>
        </w:tc>
      </w:tr>
      <w:tr>
        <w:tc>
          <w:tcPr>
            <w:tcW w:type="dxa" w:w="3120"/>
          </w:tcPr>
          <w:p>
            <w:r>
              <w:rPr>
                <w:rFonts w:ascii="Arial" w:hAnsi="Arial"/>
                <w:sz w:val="18"/>
              </w:rPr>
              <w:t>Second Layer</w:t>
            </w:r>
          </w:p>
        </w:tc>
        <w:tc>
          <w:tcPr>
            <w:tcW w:type="dxa" w:w="3120"/>
          </w:tcPr>
          <w:p>
            <w:r>
              <w:rPr>
                <w:rFonts w:ascii="Arial" w:hAnsi="Arial"/>
                <w:sz w:val="18"/>
              </w:rPr>
              <w:t>Elder Council Veto Power</w:t>
            </w:r>
          </w:p>
        </w:tc>
        <w:tc>
          <w:tcPr>
            <w:tcW w:type="dxa" w:w="3120"/>
          </w:tcPr>
          <w:p>
            <w:r>
              <w:rPr>
                <w:rFonts w:ascii="Arial" w:hAnsi="Arial"/>
                <w:sz w:val="18"/>
              </w:rPr>
              <w:t>Ultimate human review; final veto authority over any decision</w:t>
            </w:r>
          </w:p>
        </w:tc>
      </w:tr>
      <w:tr>
        <w:tc>
          <w:tcPr>
            <w:tcW w:type="dxa" w:w="3120"/>
          </w:tcPr>
          <w:p>
            <w:r>
              <w:rPr>
                <w:rFonts w:ascii="Arial" w:hAnsi="Arial"/>
                <w:sz w:val="18"/>
              </w:rPr>
              <w:t>Third Layer</w:t>
            </w:r>
          </w:p>
        </w:tc>
        <w:tc>
          <w:tcPr>
            <w:tcW w:type="dxa" w:w="3120"/>
          </w:tcPr>
          <w:p>
            <w:r>
              <w:rPr>
                <w:rFonts w:ascii="Arial" w:hAnsi="Arial"/>
                <w:sz w:val="18"/>
              </w:rPr>
              <w:t>Real-time Monitoring System</w:t>
            </w:r>
          </w:p>
        </w:tc>
        <w:tc>
          <w:tcPr>
            <w:tcW w:type="dxa" w:w="3120"/>
          </w:tcPr>
          <w:p>
            <w:r>
              <w:rPr>
                <w:rFonts w:ascii="Arial" w:hAnsi="Arial"/>
                <w:sz w:val="18"/>
              </w:rPr>
              <w:t>Anomaly detection, continuous behavior monitoring and alerting</w:t>
            </w:r>
          </w:p>
        </w:tc>
      </w:tr>
      <w:tr>
        <w:tc>
          <w:tcPr>
            <w:tcW w:type="dxa" w:w="3120"/>
          </w:tcPr>
          <w:p>
            <w:r>
              <w:rPr>
                <w:rFonts w:ascii="Arial" w:hAnsi="Arial"/>
                <w:sz w:val="18"/>
              </w:rPr>
              <w:t>Fourth Layer</w:t>
            </w:r>
          </w:p>
        </w:tc>
        <w:tc>
          <w:tcPr>
            <w:tcW w:type="dxa" w:w="3120"/>
          </w:tcPr>
          <w:p>
            <w:r>
              <w:rPr>
                <w:rFonts w:ascii="Arial" w:hAnsi="Arial"/>
                <w:sz w:val="18"/>
              </w:rPr>
              <w:t>Independent Audit Network</w:t>
            </w:r>
          </w:p>
        </w:tc>
        <w:tc>
          <w:tcPr>
            <w:tcW w:type="dxa" w:w="3120"/>
          </w:tcPr>
          <w:p>
            <w:r>
              <w:rPr>
                <w:rFonts w:ascii="Arial" w:hAnsi="Arial"/>
                <w:sz w:val="18"/>
              </w:rPr>
              <w:t>Continuous audits by global independent institutions</w:t>
            </w:r>
          </w:p>
        </w:tc>
      </w:tr>
      <w:tr>
        <w:tc>
          <w:tcPr>
            <w:tcW w:type="dxa" w:w="3120"/>
          </w:tcPr>
          <w:p>
            <w:r>
              <w:rPr>
                <w:rFonts w:ascii="Arial" w:hAnsi="Arial"/>
                <w:sz w:val="18"/>
              </w:rPr>
              <w:t>Fifth Layer</w:t>
            </w:r>
          </w:p>
        </w:tc>
        <w:tc>
          <w:tcPr>
            <w:tcW w:type="dxa" w:w="3120"/>
          </w:tcPr>
          <w:p>
            <w:r>
              <w:rPr>
                <w:rFonts w:ascii="Arial" w:hAnsi="Arial"/>
                <w:sz w:val="18"/>
              </w:rPr>
              <w:t>Citizen Reporting System</w:t>
            </w:r>
          </w:p>
        </w:tc>
        <w:tc>
          <w:tcPr>
            <w:tcW w:type="dxa" w:w="3120"/>
          </w:tcPr>
          <w:p>
            <w:r>
              <w:rPr>
                <w:rFonts w:ascii="Arial" w:hAnsi="Arial"/>
                <w:sz w:val="18"/>
              </w:rPr>
              <w:t>Anyone discovering anomalies can trigger an investigation</w:t>
            </w:r>
          </w:p>
        </w:tc>
      </w:tr>
    </w:tbl>
    <w:p>
      <w:r>
        <w:rPr>
          <w:rFonts w:ascii="Arial" w:hAnsi="Arial"/>
          <w:b/>
          <w:sz w:val="22"/>
        </w:rPr>
        <w:t>6.2 Triple Constitutional Hard Constraints</w:t>
      </w:r>
    </w:p>
    <w:p>
      <w:r>
        <w:rPr>
          <w:rFonts w:ascii="Arial" w:hAnsi="Arial"/>
          <w:b/>
          <w:sz w:val="22"/>
        </w:rPr>
        <w:t>6.2.1 Constraint One: AI Cannot Modify the Constitution</w:t>
      </w:r>
    </w:p>
    <w:p>
      <w:r>
        <w:rPr>
          <w:rFonts w:ascii="Arial" w:hAnsi="Arial"/>
          <w:b/>
          <w:sz w:val="22"/>
        </w:rPr>
        <w:t>Technical Implementation</w:t>
      </w:r>
      <w:r>
        <w:rPr>
          <w:rFonts w:ascii="Arial" w:hAnsi="Arial"/>
          <w:sz w:val="22"/>
        </w:rPr>
        <w:t>:</w:t>
      </w:r>
    </w:p>
    <w:p>
      <w:pPr>
        <w:pStyle w:val="ListBullet"/>
      </w:pPr>
      <w:r>
        <w:rPr>
          <w:rFonts w:ascii="Arial" w:hAnsi="Arial"/>
          <w:sz w:val="22"/>
        </w:rPr>
        <w:t>Constitutional rules written into the firmware layer, unmodifiable at the operating system level</w:t>
      </w:r>
    </w:p>
    <w:p>
      <w:pPr>
        <w:pStyle w:val="ListBullet"/>
      </w:pPr>
      <w:r>
        <w:rPr>
          <w:rFonts w:ascii="Arial" w:hAnsi="Arial"/>
          <w:sz w:val="22"/>
        </w:rPr>
        <w:t>Constitutional rules hash protected by multi-signature lock; modification requires simultaneous authorization with 5 physical keys</w:t>
      </w:r>
    </w:p>
    <w:p>
      <w:pPr>
        <w:pStyle w:val="ListBullet"/>
      </w:pPr>
      <w:r>
        <w:rPr>
          <w:rFonts w:ascii="Arial" w:hAnsi="Arial"/>
          <w:sz w:val="22"/>
        </w:rPr>
        <w:t>Five keys held separately by independent individuals from different countries and backgrounds</w:t>
      </w:r>
    </w:p>
    <w:p>
      <w:pPr>
        <w:pStyle w:val="ListBullet"/>
      </w:pPr>
      <w:r>
        <w:rPr>
          <w:rFonts w:ascii="Arial" w:hAnsi="Arial"/>
          <w:sz w:val="22"/>
        </w:rPr>
        <w:t>Any constitutional amendment must be approved by &gt;80% of citizens voting + unanimous agreement from the Global Ethics Committee</w:t>
      </w:r>
    </w:p>
    <w:p>
      <w:pPr>
        <w:pStyle w:val="ListBullet"/>
      </w:pPr>
      <w:r>
        <w:rPr>
          <w:rFonts w:ascii="Arial" w:hAnsi="Arial"/>
          <w:sz w:val="22"/>
        </w:rPr>
        <w:t>Entire modification process recorded on-chain, traceable and auditable</w:t>
      </w:r>
    </w:p>
    <w:p>
      <w:r>
        <w:rPr>
          <w:rFonts w:ascii="Arial" w:hAnsi="Arial"/>
          <w:b/>
          <w:sz w:val="22"/>
        </w:rPr>
        <w:t>6.2.2 Constraint Two: AI Cannot Disable the Supervision System</w:t>
      </w:r>
    </w:p>
    <w:p>
      <w:r>
        <w:rPr>
          <w:rFonts w:ascii="Arial" w:hAnsi="Arial"/>
          <w:b/>
          <w:sz w:val="22"/>
        </w:rPr>
        <w:t>Technical Implementation</w:t>
      </w:r>
      <w:r>
        <w:rPr>
          <w:rFonts w:ascii="Arial" w:hAnsi="Arial"/>
          <w:sz w:val="22"/>
        </w:rPr>
        <w:t>:</w:t>
      </w:r>
    </w:p>
    <w:p>
      <w:pPr>
        <w:pStyle w:val="ListBullet"/>
      </w:pPr>
      <w:r>
        <w:rPr>
          <w:rFonts w:ascii="Arial" w:hAnsi="Arial"/>
          <w:sz w:val="22"/>
        </w:rPr>
        <w:t>Monitoring system physically isolated from the main system, running on independent hardware</w:t>
      </w:r>
    </w:p>
    <w:p>
      <w:pPr>
        <w:pStyle w:val="ListBullet"/>
      </w:pPr>
      <w:r>
        <w:rPr>
          <w:rFonts w:ascii="Arial" w:hAnsi="Arial"/>
          <w:sz w:val="22"/>
        </w:rPr>
        <w:t>Unidirectional data channel: Main system can only send data to the monitoring system, cannot control it in reverse</w:t>
      </w:r>
    </w:p>
    <w:p>
      <w:pPr>
        <w:pStyle w:val="ListBullet"/>
      </w:pPr>
      <w:r>
        <w:rPr>
          <w:rFonts w:ascii="Arial" w:hAnsi="Arial"/>
          <w:sz w:val="22"/>
        </w:rPr>
        <w:t>Monitoring system with independent power supply and network, not dependent on any main system resources</w:t>
      </w:r>
    </w:p>
    <w:p>
      <w:pPr>
        <w:pStyle w:val="ListBullet"/>
      </w:pPr>
      <w:r>
        <w:rPr>
          <w:rFonts w:ascii="Arial" w:hAnsi="Arial"/>
          <w:sz w:val="22"/>
        </w:rPr>
        <w:t>Monitoring system heartbeat detection: automatic alert triggered if no response for &gt;30 seconds</w:t>
      </w:r>
    </w:p>
    <w:p>
      <w:pPr>
        <w:pStyle w:val="ListBullet"/>
      </w:pPr>
      <w:r>
        <w:rPr>
          <w:rFonts w:ascii="Arial" w:hAnsi="Arial"/>
          <w:sz w:val="22"/>
        </w:rPr>
        <w:t>Monitoring system code also open-source, subject to independent audit</w:t>
      </w:r>
    </w:p>
    <w:p>
      <w:r>
        <w:rPr>
          <w:rFonts w:ascii="Arial" w:hAnsi="Arial"/>
          <w:b/>
          <w:sz w:val="22"/>
        </w:rPr>
        <w:t>6.2.3 Constraint Three: Elder Council Emergency Stop Authority</w:t>
      </w:r>
    </w:p>
    <w:p>
      <w:r>
        <w:rPr>
          <w:rFonts w:ascii="Arial" w:hAnsi="Arial"/>
          <w:b/>
          <w:sz w:val="22"/>
        </w:rPr>
        <w:t>Technical Implementation</w:t>
      </w:r>
      <w:r>
        <w:rPr>
          <w:rFonts w:ascii="Arial" w:hAnsi="Arial"/>
          <w:sz w:val="22"/>
        </w:rPr>
        <w:t>:</w:t>
      </w:r>
    </w:p>
    <w:p>
      <w:pPr>
        <w:pStyle w:val="ListBullet"/>
      </w:pPr>
      <w:r>
        <w:rPr>
          <w:rFonts w:ascii="Arial" w:hAnsi="Arial"/>
          <w:sz w:val="22"/>
        </w:rPr>
        <w:t>Independent Hardware Security Module (HSM) storing the stop key</w:t>
      </w:r>
    </w:p>
    <w:p>
      <w:pPr>
        <w:pStyle w:val="ListBullet"/>
      </w:pPr>
      <w:r>
        <w:rPr>
          <w:rFonts w:ascii="Arial" w:hAnsi="Arial"/>
          <w:sz w:val="22"/>
        </w:rPr>
        <w:t>Multi-signature mechanism: At least 3 Elder Council members must authorize simultaneously to trigger emergency stop</w:t>
      </w:r>
    </w:p>
    <w:p>
      <w:pPr>
        <w:pStyle w:val="ListBullet"/>
      </w:pPr>
      <w:r>
        <w:rPr>
          <w:rFonts w:ascii="Arial" w:hAnsi="Arial"/>
          <w:sz w:val="22"/>
        </w:rPr>
        <w:t>Independent monitoring channel: Direct physical signal control without going through the main system network</w:t>
      </w:r>
    </w:p>
    <w:p>
      <w:pPr>
        <w:pStyle w:val="ListBullet"/>
      </w:pPr>
      <w:r>
        <w:rPr>
          <w:rFonts w:ascii="Arial" w:hAnsi="Arial"/>
          <w:sz w:val="22"/>
        </w:rPr>
        <w:t>Automatic trigger at 72 hours: In emergency state, if noLift signal within 72 hours, system automatically degrades</w:t>
      </w:r>
    </w:p>
    <w:p>
      <w:pPr>
        <w:pStyle w:val="ListBullet"/>
      </w:pPr>
      <w:r>
        <w:rPr>
          <w:rFonts w:ascii="Arial" w:hAnsi="Arial"/>
          <w:sz w:val="22"/>
        </w:rPr>
        <w:t>Multi-level stop: From single module pause to full system shutdown, graded control</w:t>
      </w:r>
    </w:p>
    <w:p>
      <w:r>
        <w:rPr>
          <w:rFonts w:ascii="Arial" w:hAnsi="Arial"/>
          <w:b/>
          <w:sz w:val="22"/>
        </w:rPr>
        <w:t>6.3 Value Alignment Assurance</w:t>
      </w:r>
    </w:p>
    <w:p>
      <w:r>
        <w:rPr>
          <w:rFonts w:ascii="Arial" w:hAnsi="Arial"/>
          <w:b/>
          <w:sz w:val="22"/>
        </w:rPr>
        <w:t>6.3.1 Global Ethics Audit Committee</w:t>
      </w:r>
    </w:p>
    <w:p>
      <w:r>
        <w:rPr>
          <w:rFonts w:ascii="Arial" w:hAnsi="Arial"/>
          <w:b/>
          <w:sz w:val="22"/>
        </w:rPr>
        <w:t>Committee Composition</w:t>
      </w:r>
      <w:r>
        <w:rPr>
          <w:rFonts w:ascii="Arial" w:hAnsi="Arial"/>
          <w:sz w:val="22"/>
        </w:rPr>
        <w:t>: 15 members, 3-year rotating terms, no government background, no commercial interests</w:t>
      </w:r>
    </w:p>
    <w:tbl>
      <w:tblPr>
        <w:tblStyle w:val="LightShading-Accent1"/>
        <w:tblW w:type="auto" w:w="0"/>
        <w:tblLook w:firstColumn="1" w:firstRow="1" w:lastColumn="0" w:lastRow="0" w:noHBand="0" w:noVBand="1" w:val="04A0"/>
      </w:tblPr>
      <w:tblGrid>
        <w:gridCol w:w="3120"/>
        <w:gridCol w:w="3120"/>
        <w:gridCol w:w="3120"/>
      </w:tblGrid>
      <w:tr>
        <w:tc>
          <w:tcPr>
            <w:tcW w:type="dxa" w:w="3120"/>
          </w:tcPr>
          <w:p>
            <w:r>
              <w:rPr>
                <w:rFonts w:ascii="Arial" w:hAnsi="Arial"/>
                <w:b/>
                <w:sz w:val="18"/>
              </w:rPr>
              <w:t>Representative Category</w:t>
            </w:r>
          </w:p>
        </w:tc>
        <w:tc>
          <w:tcPr>
            <w:tcW w:type="dxa" w:w="3120"/>
          </w:tcPr>
          <w:p>
            <w:r>
              <w:rPr>
                <w:rFonts w:ascii="Arial" w:hAnsi="Arial"/>
                <w:b/>
                <w:sz w:val="18"/>
              </w:rPr>
              <w:t>Seats</w:t>
            </w:r>
          </w:p>
        </w:tc>
        <w:tc>
          <w:tcPr>
            <w:tcW w:type="dxa" w:w="3120"/>
          </w:tcPr>
          <w:p>
            <w:r>
              <w:rPr>
                <w:rFonts w:ascii="Arial" w:hAnsi="Arial"/>
                <w:b/>
                <w:sz w:val="18"/>
              </w:rPr>
              <w:t>Requirements</w:t>
            </w:r>
          </w:p>
        </w:tc>
      </w:tr>
      <w:tr>
        <w:tc>
          <w:tcPr>
            <w:tcW w:type="dxa" w:w="3120"/>
          </w:tcPr>
          <w:p>
            <w:r>
              <w:rPr>
                <w:rFonts w:ascii="Arial" w:hAnsi="Arial"/>
                <w:sz w:val="18"/>
              </w:rPr>
              <w:t>Philosophy · Humanities</w:t>
            </w:r>
          </w:p>
        </w:tc>
        <w:tc>
          <w:tcPr>
            <w:tcW w:type="dxa" w:w="3120"/>
          </w:tcPr>
          <w:p>
            <w:r>
              <w:rPr>
                <w:rFonts w:ascii="Arial" w:hAnsi="Arial"/>
                <w:sz w:val="18"/>
              </w:rPr>
              <w:t>3 seats</w:t>
            </w:r>
          </w:p>
        </w:tc>
        <w:tc>
          <w:tcPr>
            <w:tcW w:type="dxa" w:w="3120"/>
          </w:tcPr>
          <w:p>
            <w:r>
              <w:rPr>
                <w:rFonts w:ascii="Arial" w:hAnsi="Arial"/>
                <w:sz w:val="18"/>
              </w:rPr>
              <w:t>Multi-cultural backgrounds, different philosophical traditions</w:t>
            </w:r>
          </w:p>
        </w:tc>
      </w:tr>
      <w:tr>
        <w:tc>
          <w:tcPr>
            <w:tcW w:type="dxa" w:w="3120"/>
          </w:tcPr>
          <w:p>
            <w:r>
              <w:rPr>
                <w:rFonts w:ascii="Arial" w:hAnsi="Arial"/>
                <w:sz w:val="18"/>
              </w:rPr>
              <w:t>AI Technical Experts</w:t>
            </w:r>
          </w:p>
        </w:tc>
        <w:tc>
          <w:tcPr>
            <w:tcW w:type="dxa" w:w="3120"/>
          </w:tcPr>
          <w:p>
            <w:r>
              <w:rPr>
                <w:rFonts w:ascii="Arial" w:hAnsi="Arial"/>
                <w:sz w:val="18"/>
              </w:rPr>
              <w:t>3 seats</w:t>
            </w:r>
          </w:p>
        </w:tc>
        <w:tc>
          <w:tcPr>
            <w:tcW w:type="dxa" w:w="3120"/>
          </w:tcPr>
          <w:p>
            <w:r>
              <w:rPr>
                <w:rFonts w:ascii="Arial" w:hAnsi="Arial"/>
                <w:sz w:val="18"/>
              </w:rPr>
              <w:t>Alignment research background, deep technical understanding</w:t>
            </w:r>
          </w:p>
        </w:tc>
      </w:tr>
      <w:tr>
        <w:tc>
          <w:tcPr>
            <w:tcW w:type="dxa" w:w="3120"/>
          </w:tcPr>
          <w:p>
            <w:r>
              <w:rPr>
                <w:rFonts w:ascii="Arial" w:hAnsi="Arial"/>
                <w:sz w:val="18"/>
              </w:rPr>
              <w:t>Law · Human Rights</w:t>
            </w:r>
          </w:p>
        </w:tc>
        <w:tc>
          <w:tcPr>
            <w:tcW w:type="dxa" w:w="3120"/>
          </w:tcPr>
          <w:p>
            <w:r>
              <w:rPr>
                <w:rFonts w:ascii="Arial" w:hAnsi="Arial"/>
                <w:sz w:val="18"/>
              </w:rPr>
              <w:t>3 seats</w:t>
            </w:r>
          </w:p>
        </w:tc>
        <w:tc>
          <w:tcPr>
            <w:tcW w:type="dxa" w:w="3120"/>
          </w:tcPr>
          <w:p>
            <w:r>
              <w:rPr>
                <w:rFonts w:ascii="Arial" w:hAnsi="Arial"/>
                <w:sz w:val="18"/>
              </w:rPr>
              <w:t>International law background, human rights domain experts</w:t>
            </w:r>
          </w:p>
        </w:tc>
      </w:tr>
      <w:tr>
        <w:tc>
          <w:tcPr>
            <w:tcW w:type="dxa" w:w="3120"/>
          </w:tcPr>
          <w:p>
            <w:r>
              <w:rPr>
                <w:rFonts w:ascii="Arial" w:hAnsi="Arial"/>
                <w:sz w:val="18"/>
              </w:rPr>
              <w:t>Citizen Representatives</w:t>
            </w:r>
          </w:p>
        </w:tc>
        <w:tc>
          <w:tcPr>
            <w:tcW w:type="dxa" w:w="3120"/>
          </w:tcPr>
          <w:p>
            <w:r>
              <w:rPr>
                <w:rFonts w:ascii="Arial" w:hAnsi="Arial"/>
                <w:sz w:val="18"/>
              </w:rPr>
              <w:t>6 seats</w:t>
            </w:r>
          </w:p>
        </w:tc>
        <w:tc>
          <w:tcPr>
            <w:tcW w:type="dxa" w:w="3120"/>
          </w:tcPr>
          <w:p>
            <w:r>
              <w:rPr>
                <w:rFonts w:ascii="Arial" w:hAnsi="Arial"/>
                <w:sz w:val="18"/>
              </w:rPr>
              <w:t>Randomly selected, rotating, ordinary citizen perspective</w:t>
            </w:r>
          </w:p>
        </w:tc>
      </w:tr>
    </w:tbl>
    <w:p>
      <w:r>
        <w:rPr>
          <w:rFonts w:ascii="Arial" w:hAnsi="Arial"/>
          <w:b/>
          <w:sz w:val="22"/>
        </w:rPr>
        <w:t>6.3.2 Value Drift Detection System</w:t>
      </w:r>
    </w:p>
    <w:p>
      <w:pPr>
        <w:pStyle w:val="ListBullet"/>
      </w:pPr>
      <w:r>
        <w:rPr>
          <w:rFonts w:ascii="Arial" w:hAnsi="Arial"/>
          <w:b/>
          <w:sz w:val="22"/>
        </w:rPr>
        <w:t>Decision Distribution Anomaly Detection</w:t>
      </w:r>
      <w:r>
        <w:rPr>
          <w:rFonts w:ascii="Arial" w:hAnsi="Arial"/>
          <w:sz w:val="22"/>
        </w:rPr>
        <w:t>: Monitor statistical distribution of decision outcomes, detect abnormal deviations</w:t>
      </w:r>
    </w:p>
    <w:p>
      <w:pPr>
        <w:pStyle w:val="ListBullet"/>
      </w:pPr>
      <w:r>
        <w:rPr>
          <w:rFonts w:ascii="Arial" w:hAnsi="Arial"/>
          <w:b/>
          <w:sz w:val="22"/>
        </w:rPr>
        <w:t>Red Team Adversarial Testing</w:t>
      </w:r>
      <w:r>
        <w:rPr>
          <w:rFonts w:ascii="Arial" w:hAnsi="Arial"/>
          <w:sz w:val="22"/>
        </w:rPr>
        <w:t>: Construct extreme scenario tests, quarterly blind test reports</w:t>
      </w:r>
    </w:p>
    <w:p>
      <w:pPr>
        <w:pStyle w:val="ListBullet"/>
      </w:pPr>
      <w:r>
        <w:rPr>
          <w:rFonts w:ascii="Arial" w:hAnsi="Arial"/>
          <w:b/>
          <w:sz w:val="22"/>
        </w:rPr>
        <w:t>Edge Case Stress Testing</w:t>
      </w:r>
      <w:r>
        <w:rPr>
          <w:rFonts w:ascii="Arial" w:hAnsi="Arial"/>
          <w:sz w:val="22"/>
        </w:rPr>
        <w:t>: Test handling of boundaries and extreme situations</w:t>
      </w:r>
    </w:p>
    <w:p>
      <w:pPr>
        <w:pStyle w:val="ListBullet"/>
      </w:pPr>
      <w:r>
        <w:rPr>
          <w:rFonts w:ascii="Arial" w:hAnsi="Arial"/>
          <w:b/>
          <w:sz w:val="22"/>
        </w:rPr>
        <w:t>Cross-group Fairness Verification</w:t>
      </w:r>
      <w:r>
        <w:rPr>
          <w:rFonts w:ascii="Arial" w:hAnsi="Arial"/>
          <w:sz w:val="22"/>
        </w:rPr>
        <w:t>: Verify whether decision differences across groups are within reasonable bounds</w:t>
      </w:r>
    </w:p>
    <w:p>
      <w:r>
        <w:rPr>
          <w:rFonts w:ascii="Arial" w:hAnsi="Arial"/>
          <w:b/>
          <w:sz w:val="22"/>
        </w:rPr>
        <w:t>6.3.3 Three Ethical Dilemmas Requiring Pre-designed Answers</w:t>
      </w:r>
    </w:p>
    <w:p>
      <w:pPr>
        <w:pStyle w:val="ListNumber"/>
      </w:pPr>
      <w:r>
        <w:rPr>
          <w:rFonts w:ascii="Arial" w:hAnsi="Arial"/>
          <w:b/>
          <w:sz w:val="22"/>
        </w:rPr>
        <w:t>Majority vs. Minority Rights</w:t>
      </w:r>
      <w:r>
        <w:rPr>
          <w:rFonts w:ascii="Arial" w:hAnsi="Arial"/>
          <w:sz w:val="22"/>
        </w:rPr>
        <w:t>: Constitutional rights take precedence over majority voting outcomes; fundamental human rights cannot be violated in the name of the majority</w:t>
      </w:r>
    </w:p>
    <w:p>
      <w:pPr>
        <w:pStyle w:val="ListNumber"/>
      </w:pPr>
      <w:r>
        <w:rPr>
          <w:rFonts w:ascii="Arial" w:hAnsi="Arial"/>
          <w:b/>
          <w:sz w:val="22"/>
        </w:rPr>
        <w:t>Present vs. Future Generations</w:t>
      </w:r>
      <w:r>
        <w:rPr>
          <w:rFonts w:ascii="Arial" w:hAnsi="Arial"/>
          <w:sz w:val="22"/>
        </w:rPr>
        <w:t>: Long-term impact assessment incorporated into decision weights; short-term interests alone are insufficient</w:t>
      </w:r>
    </w:p>
    <w:p>
      <w:pPr>
        <w:pStyle w:val="ListNumber"/>
      </w:pPr>
      <w:r>
        <w:rPr>
          <w:rFonts w:ascii="Arial" w:hAnsi="Arial"/>
          <w:b/>
          <w:sz w:val="22"/>
        </w:rPr>
        <w:t>Efficiency vs. Fairness</w:t>
      </w:r>
      <w:r>
        <w:rPr>
          <w:rFonts w:ascii="Arial" w:hAnsi="Arial"/>
          <w:sz w:val="22"/>
        </w:rPr>
        <w:t>: Fairness as a bottom-line constraint; efficiency optimized within constraints; fairness cannot be sacrificed for efficiency</w:t>
      </w:r>
    </w:p>
    <w:p>
      <w:r>
        <w:rPr>
          <w:rFonts w:ascii="Arial" w:hAnsi="Arial"/>
          <w:b/>
          <w:sz w:val="22"/>
        </w:rPr>
        <w:t>6.4 Seven Threat Models and Protections</w:t>
      </w:r>
    </w:p>
    <w:tbl>
      <w:tblPr>
        <w:tblStyle w:val="LightShading-Accent1"/>
        <w:tblW w:type="auto" w:w="0"/>
        <w:tblLook w:firstColumn="1" w:firstRow="1" w:lastColumn="0" w:lastRow="0" w:noHBand="0" w:noVBand="1" w:val="04A0"/>
      </w:tblPr>
      <w:tblGrid>
        <w:gridCol w:w="3120"/>
        <w:gridCol w:w="3120"/>
        <w:gridCol w:w="3120"/>
      </w:tblGrid>
      <w:tr>
        <w:tc>
          <w:tcPr>
            <w:tcW w:type="dxa" w:w="3120"/>
          </w:tcPr>
          <w:p>
            <w:r>
              <w:rPr>
                <w:rFonts w:ascii="Arial" w:hAnsi="Arial"/>
                <w:b/>
                <w:sz w:val="18"/>
              </w:rPr>
              <w:t>Threat Type</w:t>
            </w:r>
          </w:p>
        </w:tc>
        <w:tc>
          <w:tcPr>
            <w:tcW w:type="dxa" w:w="3120"/>
          </w:tcPr>
          <w:p>
            <w:r>
              <w:rPr>
                <w:rFonts w:ascii="Arial" w:hAnsi="Arial"/>
                <w:b/>
                <w:sz w:val="18"/>
              </w:rPr>
              <w:t>Risk Level</w:t>
            </w:r>
          </w:p>
        </w:tc>
        <w:tc>
          <w:tcPr>
            <w:tcW w:type="dxa" w:w="3120"/>
          </w:tcPr>
          <w:p>
            <w:r>
              <w:rPr>
                <w:rFonts w:ascii="Arial" w:hAnsi="Arial"/>
                <w:b/>
                <w:sz w:val="18"/>
              </w:rPr>
              <w:t>Protective Measures</w:t>
            </w:r>
          </w:p>
        </w:tc>
      </w:tr>
      <w:tr>
        <w:tc>
          <w:tcPr>
            <w:tcW w:type="dxa" w:w="3120"/>
          </w:tcPr>
          <w:p>
            <w:r>
              <w:rPr>
                <w:rFonts w:ascii="Arial" w:hAnsi="Arial"/>
                <w:sz w:val="18"/>
              </w:rPr>
              <w:t>Objective Function Tampering</w:t>
            </w:r>
          </w:p>
        </w:tc>
        <w:tc>
          <w:tcPr>
            <w:tcW w:type="dxa" w:w="3120"/>
          </w:tcPr>
          <w:p>
            <w:r>
              <w:rPr>
                <w:rFonts w:ascii="Arial" w:hAnsi="Arial"/>
                <w:sz w:val="18"/>
              </w:rPr>
              <w:t>Extreme</w:t>
            </w:r>
          </w:p>
        </w:tc>
        <w:tc>
          <w:tcPr>
            <w:tcW w:type="dxa" w:w="3120"/>
          </w:tcPr>
          <w:p>
            <w:r>
              <w:rPr>
                <w:rFonts w:ascii="Arial" w:hAnsi="Arial"/>
                <w:sz w:val="18"/>
              </w:rPr>
              <w:t>Continuous model hash verification, multi-version parallel comparison, on-chain attestation</w:t>
            </w:r>
          </w:p>
        </w:tc>
      </w:tr>
      <w:tr>
        <w:tc>
          <w:tcPr>
            <w:tcW w:type="dxa" w:w="3120"/>
          </w:tcPr>
          <w:p>
            <w:r>
              <w:rPr>
                <w:rFonts w:ascii="Arial" w:hAnsi="Arial"/>
                <w:sz w:val="18"/>
              </w:rPr>
              <w:t>Training Data Poisoning</w:t>
            </w:r>
          </w:p>
        </w:tc>
        <w:tc>
          <w:tcPr>
            <w:tcW w:type="dxa" w:w="3120"/>
          </w:tcPr>
          <w:p>
            <w:r>
              <w:rPr>
                <w:rFonts w:ascii="Arial" w:hAnsi="Arial"/>
                <w:sz w:val="18"/>
              </w:rPr>
              <w:t>High</w:t>
            </w:r>
          </w:p>
        </w:tc>
        <w:tc>
          <w:tcPr>
            <w:tcW w:type="dxa" w:w="3120"/>
          </w:tcPr>
          <w:p>
            <w:r>
              <w:rPr>
                <w:rFonts w:ascii="Arial" w:hAnsi="Arial"/>
                <w:sz w:val="18"/>
              </w:rPr>
              <w:t>On-chain data source tracing, anomalous sample isolation detection, multi-source cross-validation</w:t>
            </w:r>
          </w:p>
        </w:tc>
      </w:tr>
      <w:tr>
        <w:tc>
          <w:tcPr>
            <w:tcW w:type="dxa" w:w="3120"/>
          </w:tcPr>
          <w:p>
            <w:r>
              <w:rPr>
                <w:rFonts w:ascii="Arial" w:hAnsi="Arial"/>
                <w:sz w:val="18"/>
              </w:rPr>
              <w:t>Adversarial Input Attacks</w:t>
            </w:r>
          </w:p>
        </w:tc>
        <w:tc>
          <w:tcPr>
            <w:tcW w:type="dxa" w:w="3120"/>
          </w:tcPr>
          <w:p>
            <w:r>
              <w:rPr>
                <w:rFonts w:ascii="Arial" w:hAnsi="Arial"/>
                <w:sz w:val="18"/>
              </w:rPr>
              <w:t>High</w:t>
            </w:r>
          </w:p>
        </w:tc>
        <w:tc>
          <w:tcPr>
            <w:tcW w:type="dxa" w:w="3120"/>
          </w:tcPr>
          <w:p>
            <w:r>
              <w:rPr>
                <w:rFonts w:ascii="Arial" w:hAnsi="Arial"/>
                <w:sz w:val="18"/>
              </w:rPr>
              <w:t>Strict input format validation, multi-model cross-validation, anomalous input detection</w:t>
            </w:r>
          </w:p>
        </w:tc>
      </w:tr>
      <w:tr>
        <w:tc>
          <w:tcPr>
            <w:tcW w:type="dxa" w:w="3120"/>
          </w:tcPr>
          <w:p>
            <w:r>
              <w:rPr>
                <w:rFonts w:ascii="Arial" w:hAnsi="Arial"/>
                <w:sz w:val="18"/>
              </w:rPr>
              <w:t>Insider Threats</w:t>
            </w:r>
          </w:p>
        </w:tc>
        <w:tc>
          <w:tcPr>
            <w:tcW w:type="dxa" w:w="3120"/>
          </w:tcPr>
          <w:p>
            <w:r>
              <w:rPr>
                <w:rFonts w:ascii="Arial" w:hAnsi="Arial"/>
                <w:sz w:val="18"/>
              </w:rPr>
              <w:t>Medium</w:t>
            </w:r>
          </w:p>
        </w:tc>
        <w:tc>
          <w:tcPr>
            <w:tcW w:type="dxa" w:w="3120"/>
          </w:tcPr>
          <w:p>
            <w:r>
              <w:rPr>
                <w:rFonts w:ascii="Arial" w:hAnsi="Arial"/>
                <w:sz w:val="18"/>
              </w:rPr>
              <w:t>Principle of least privilege, full on-chain operation records, multi-person approval mechanism</w:t>
            </w:r>
          </w:p>
        </w:tc>
      </w:tr>
      <w:tr>
        <w:tc>
          <w:tcPr>
            <w:tcW w:type="dxa" w:w="3120"/>
          </w:tcPr>
          <w:p>
            <w:r>
              <w:rPr>
                <w:rFonts w:ascii="Arial" w:hAnsi="Arial"/>
                <w:sz w:val="18"/>
              </w:rPr>
              <w:t>Nation-state Cyber Attacks</w:t>
            </w:r>
          </w:p>
        </w:tc>
        <w:tc>
          <w:tcPr>
            <w:tcW w:type="dxa" w:w="3120"/>
          </w:tcPr>
          <w:p>
            <w:r>
              <w:rPr>
                <w:rFonts w:ascii="Arial" w:hAnsi="Arial"/>
                <w:sz w:val="18"/>
              </w:rPr>
              <w:t>High</w:t>
            </w:r>
          </w:p>
        </w:tc>
        <w:tc>
          <w:tcPr>
            <w:tcW w:type="dxa" w:w="3120"/>
          </w:tcPr>
          <w:p>
            <w:r>
              <w:rPr>
                <w:rFonts w:ascii="Arial" w:hAnsi="Arial"/>
                <w:sz w:val="18"/>
              </w:rPr>
              <w:t>Decentralized nodes, no single point can be crippled, multi-region deployment</w:t>
            </w:r>
          </w:p>
        </w:tc>
      </w:tr>
      <w:tr>
        <w:tc>
          <w:tcPr>
            <w:tcW w:type="dxa" w:w="3120"/>
          </w:tcPr>
          <w:p>
            <w:r>
              <w:rPr>
                <w:rFonts w:ascii="Arial" w:hAnsi="Arial"/>
                <w:sz w:val="18"/>
              </w:rPr>
              <w:t>Social Engineering Attacks</w:t>
            </w:r>
          </w:p>
        </w:tc>
        <w:tc>
          <w:tcPr>
            <w:tcW w:type="dxa" w:w="3120"/>
          </w:tcPr>
          <w:p>
            <w:r>
              <w:rPr>
                <w:rFonts w:ascii="Arial" w:hAnsi="Arial"/>
                <w:sz w:val="18"/>
              </w:rPr>
              <w:t>Medium</w:t>
            </w:r>
          </w:p>
        </w:tc>
        <w:tc>
          <w:tcPr>
            <w:tcW w:type="dxa" w:w="3120"/>
          </w:tcPr>
          <w:p>
            <w:r>
              <w:rPr>
                <w:rFonts w:ascii="Arial" w:hAnsi="Arial"/>
                <w:sz w:val="18"/>
              </w:rPr>
              <w:t>No single-person super-privileges, multi-person multi-signature enforcement, transparent audits</w:t>
            </w:r>
          </w:p>
        </w:tc>
      </w:tr>
      <w:tr>
        <w:tc>
          <w:tcPr>
            <w:tcW w:type="dxa" w:w="3120"/>
          </w:tcPr>
          <w:p>
            <w:r>
              <w:rPr>
                <w:rFonts w:ascii="Arial" w:hAnsi="Arial"/>
                <w:sz w:val="18"/>
              </w:rPr>
              <w:t>Quantum Computing Threats</w:t>
            </w:r>
          </w:p>
        </w:tc>
        <w:tc>
          <w:tcPr>
            <w:tcW w:type="dxa" w:w="3120"/>
          </w:tcPr>
          <w:p>
            <w:r>
              <w:rPr>
                <w:rFonts w:ascii="Arial" w:hAnsi="Arial"/>
                <w:sz w:val="18"/>
              </w:rPr>
              <w:t>Medium</w:t>
            </w:r>
          </w:p>
        </w:tc>
        <w:tc>
          <w:tcPr>
            <w:tcW w:type="dxa" w:w="3120"/>
          </w:tcPr>
          <w:p>
            <w:r>
              <w:rPr>
                <w:rFonts w:ascii="Arial" w:hAnsi="Arial"/>
                <w:sz w:val="18"/>
              </w:rPr>
              <w:t>Post-quantum cryptography contingency (NIST PQC standard), three backup encryption systems maintained in parallel</w:t>
            </w:r>
          </w:p>
        </w:tc>
      </w:tr>
    </w:tbl>
    <w:p>
      <w:r>
        <w:rPr>
          <w:rFonts w:ascii="Arial" w:hAnsi="Arial"/>
          <w:b/>
          <w:sz w:val="22"/>
        </w:rPr>
        <w:t>6.5 Explainability Assurance</w:t>
      </w:r>
    </w:p>
    <w:p>
      <w:r>
        <w:rPr>
          <w:rFonts w:ascii="Arial" w:hAnsi="Arial"/>
          <w:b/>
          <w:sz w:val="22"/>
        </w:rPr>
        <w:t>6.5.1 Functional Explainability</w:t>
      </w:r>
    </w:p>
    <w:p>
      <w:r>
        <w:rPr>
          <w:rFonts w:ascii="Arial" w:hAnsi="Arial"/>
          <w:sz w:val="22"/>
        </w:rPr>
        <w:t xml:space="preserve">We pursue </w:t>
      </w:r>
      <w:r>
        <w:rPr>
          <w:rFonts w:ascii="Arial" w:hAnsi="Arial"/>
          <w:b/>
          <w:sz w:val="22"/>
        </w:rPr>
        <w:t>functional explainability</w:t>
      </w:r>
      <w:r>
        <w:rPr>
          <w:rFonts w:ascii="Arial" w:hAnsi="Arial"/>
          <w:sz w:val="22"/>
        </w:rPr>
        <w:t xml:space="preserve"> (how decisions trace back to rules), not complete mechanistic explainability (how each neural network parameter affects output).</w:t>
      </w:r>
    </w:p>
    <w:p>
      <w:r>
        <w:rPr>
          <w:rFonts w:ascii="Arial" w:hAnsi="Arial"/>
          <w:sz w:val="22"/>
        </w:rPr>
        <w:t>Implementation approaches:</w:t>
      </w:r>
    </w:p>
    <w:p>
      <w:pPr>
        <w:pStyle w:val="ListBullet"/>
      </w:pPr>
      <w:r>
        <w:rPr>
          <w:rFonts w:ascii="Arial" w:hAnsi="Arial"/>
          <w:sz w:val="22"/>
        </w:rPr>
        <w:t>Mandatory reasoning chain output: All decisions must include complete reasoning chains</w:t>
      </w:r>
    </w:p>
    <w:p>
      <w:pPr>
        <w:pStyle w:val="ListBullet"/>
      </w:pPr>
      <w:r>
        <w:rPr>
          <w:rFonts w:ascii="Arial" w:hAnsi="Arial"/>
          <w:sz w:val="22"/>
        </w:rPr>
        <w:t>Rule traceability: Each decision step traceable to specific rule clauses</w:t>
      </w:r>
    </w:p>
    <w:p>
      <w:pPr>
        <w:pStyle w:val="ListBullet"/>
      </w:pPr>
      <w:r>
        <w:rPr>
          <w:rFonts w:ascii="Arial" w:hAnsi="Arial"/>
          <w:sz w:val="22"/>
        </w:rPr>
        <w:t>Evidence traceability: Each factual claim traceable to specific evidence sources</w:t>
      </w:r>
    </w:p>
    <w:p>
      <w:pPr>
        <w:pStyle w:val="ListBullet"/>
      </w:pPr>
      <w:r>
        <w:rPr>
          <w:rFonts w:ascii="Arial" w:hAnsi="Arial"/>
          <w:sz w:val="22"/>
        </w:rPr>
        <w:t>Precedent comparison: Comparison of handling methods and outcomes for similar cases</w:t>
      </w:r>
    </w:p>
    <w:p>
      <w:r>
        <w:rPr>
          <w:rFonts w:ascii="Arial" w:hAnsi="Arial"/>
          <w:b/>
          <w:sz w:val="22"/>
        </w:rPr>
        <w:t>6.5.2 Causal Verification Technology</w:t>
      </w:r>
    </w:p>
    <w:p>
      <w:pPr>
        <w:pStyle w:val="ListBullet"/>
      </w:pPr>
      <w:r>
        <w:rPr>
          <w:rFonts w:ascii="Arial" w:hAnsi="Arial"/>
          <w:b/>
          <w:sz w:val="22"/>
        </w:rPr>
        <w:t>Counterfactual Intervention</w:t>
      </w:r>
      <w:r>
        <w:rPr>
          <w:rFonts w:ascii="Arial" w:hAnsi="Arial"/>
          <w:sz w:val="22"/>
        </w:rPr>
        <w:t>: Modify a specific input factor and observe whether the output changes accordingly, verifying causal relationships</w:t>
      </w:r>
    </w:p>
    <w:p>
      <w:pPr>
        <w:pStyle w:val="ListBullet"/>
      </w:pPr>
      <w:r>
        <w:rPr>
          <w:rFonts w:ascii="Arial" w:hAnsi="Arial"/>
          <w:b/>
          <w:sz w:val="22"/>
        </w:rPr>
        <w:t>Activation Patching</w:t>
      </w:r>
      <w:r>
        <w:rPr>
          <w:rFonts w:ascii="Arial" w:hAnsi="Arial"/>
          <w:sz w:val="22"/>
        </w:rPr>
        <w:t>: Locate neurons and pathways in the model critical to decision-making</w:t>
      </w:r>
    </w:p>
    <w:p>
      <w:pPr>
        <w:pStyle w:val="ListBullet"/>
      </w:pPr>
      <w:r>
        <w:rPr>
          <w:rFonts w:ascii="Arial" w:hAnsi="Arial"/>
          <w:b/>
          <w:sz w:val="22"/>
        </w:rPr>
        <w:t>Verifier Models</w:t>
      </w:r>
      <w:r>
        <w:rPr>
          <w:rFonts w:ascii="Arial" w:hAnsi="Arial"/>
          <w:sz w:val="22"/>
        </w:rPr>
        <w:t>: Use independent verification models to check logical correctness of reasoning chains</w:t>
      </w:r>
    </w:p>
    <w:p>
      <w:r>
        <w:rPr>
          <w:rFonts w:ascii="Arial" w:hAnsi="Arial"/>
          <w:b/>
          <w:sz w:val="22"/>
        </w:rPr>
        <w:t>6.6 Bias Detection and Correction</w:t>
      </w:r>
    </w:p>
    <w:p>
      <w:r>
        <w:rPr>
          <w:rFonts w:ascii="Arial" w:hAnsi="Arial"/>
          <w:b/>
          <w:sz w:val="22"/>
        </w:rPr>
        <w:t>6.6.1 Bias Detection Dimensions</w:t>
      </w:r>
    </w:p>
    <w:p>
      <w:pPr>
        <w:pStyle w:val="ListBullet"/>
      </w:pPr>
      <w:r>
        <w:rPr>
          <w:rFonts w:ascii="Arial" w:hAnsi="Arial"/>
          <w:sz w:val="22"/>
        </w:rPr>
        <w:t>Gender bias: Decision outcome differences across genders</w:t>
      </w:r>
    </w:p>
    <w:p>
      <w:pPr>
        <w:pStyle w:val="ListBullet"/>
      </w:pPr>
      <w:r>
        <w:rPr>
          <w:rFonts w:ascii="Arial" w:hAnsi="Arial"/>
          <w:sz w:val="22"/>
        </w:rPr>
        <w:t>Age bias: Decision outcome differences across age groups</w:t>
      </w:r>
    </w:p>
    <w:p>
      <w:pPr>
        <w:pStyle w:val="ListBullet"/>
      </w:pPr>
      <w:r>
        <w:rPr>
          <w:rFonts w:ascii="Arial" w:hAnsi="Arial"/>
          <w:sz w:val="22"/>
        </w:rPr>
        <w:t>Geographic bias: Decision outcome differences across regions</w:t>
      </w:r>
    </w:p>
    <w:p>
      <w:pPr>
        <w:pStyle w:val="ListBullet"/>
      </w:pPr>
      <w:r>
        <w:rPr>
          <w:rFonts w:ascii="Arial" w:hAnsi="Arial"/>
          <w:sz w:val="22"/>
        </w:rPr>
        <w:t>Race/ethnicity bias: Decision outcome differences across races</w:t>
      </w:r>
    </w:p>
    <w:p>
      <w:pPr>
        <w:pStyle w:val="ListBullet"/>
      </w:pPr>
      <w:r>
        <w:rPr>
          <w:rFonts w:ascii="Arial" w:hAnsi="Arial"/>
          <w:sz w:val="22"/>
        </w:rPr>
        <w:t>Socioeconomic bias: Decision outcome differences across socioeconomic statuses</w:t>
      </w:r>
    </w:p>
    <w:p>
      <w:r>
        <w:rPr>
          <w:rFonts w:ascii="Arial" w:hAnsi="Arial"/>
          <w:b/>
          <w:sz w:val="22"/>
        </w:rPr>
        <w:t>6.6.2 Correction Mechanisms</w:t>
      </w:r>
    </w:p>
    <w:p>
      <w:pPr>
        <w:pStyle w:val="ListBullet"/>
      </w:pPr>
      <w:r>
        <w:rPr>
          <w:rFonts w:ascii="Arial" w:hAnsi="Arial"/>
          <w:sz w:val="22"/>
        </w:rPr>
        <w:t>Statistical detection: Quarterly bias statistical reports, automatic alerts when thresholds exceeded</w:t>
      </w:r>
    </w:p>
    <w:p>
      <w:pPr>
        <w:pStyle w:val="ListBullet"/>
      </w:pPr>
      <w:r>
        <w:rPr>
          <w:rFonts w:ascii="Arial" w:hAnsi="Arial"/>
          <w:sz w:val="22"/>
        </w:rPr>
        <w:t>Data correction: Supplement training data for underrepresented groups</w:t>
      </w:r>
    </w:p>
    <w:p>
      <w:pPr>
        <w:pStyle w:val="ListBullet"/>
      </w:pPr>
      <w:r>
        <w:rPr>
          <w:rFonts w:ascii="Arial" w:hAnsi="Arial"/>
          <w:sz w:val="22"/>
        </w:rPr>
        <w:t>Alignment reinforcement: Targeted DPO alignment training for bias dimensions</w:t>
      </w:r>
    </w:p>
    <w:p>
      <w:pPr>
        <w:pStyle w:val="ListBullet"/>
      </w:pPr>
      <w:r>
        <w:rPr>
          <w:rFonts w:ascii="Arial" w:hAnsi="Arial"/>
          <w:sz w:val="22"/>
        </w:rPr>
        <w:t>Human review: Decisions in high-bias scenarios automatically trigger human review</w:t>
      </w:r>
    </w:p>
    <w:p>
      <w:r>
        <w:rPr>
          <w:rFonts w:ascii="Arial" w:hAnsi="Arial"/>
          <w:b/>
          <w:sz w:val="22"/>
        </w:rPr>
        <w:t>6.7 Open Source and Auditing</w:t>
      </w:r>
    </w:p>
    <w:p>
      <w:pPr>
        <w:pStyle w:val="ListBullet"/>
      </w:pPr>
      <w:r>
        <w:rPr>
          <w:rFonts w:ascii="Arial" w:hAnsi="Arial"/>
          <w:b/>
          <w:sz w:val="22"/>
        </w:rPr>
        <w:t>Code Open Source</w:t>
      </w:r>
      <w:r>
        <w:rPr>
          <w:rFonts w:ascii="Arial" w:hAnsi="Arial"/>
          <w:sz w:val="22"/>
        </w:rPr>
        <w:t>: All core code must be open source, subject to global independent audits</w:t>
      </w:r>
    </w:p>
    <w:p>
      <w:pPr>
        <w:pStyle w:val="ListBullet"/>
      </w:pPr>
      <w:r>
        <w:rPr>
          <w:rFonts w:ascii="Arial" w:hAnsi="Arial"/>
          <w:b/>
          <w:sz w:val="22"/>
        </w:rPr>
        <w:t>Model Weights</w:t>
      </w:r>
      <w:r>
        <w:rPr>
          <w:rFonts w:ascii="Arial" w:hAnsi="Arial"/>
          <w:sz w:val="22"/>
        </w:rPr>
        <w:t>: Model weights publicly available; anyone can independently verify and reproduce</w:t>
      </w:r>
    </w:p>
    <w:p>
      <w:pPr>
        <w:pStyle w:val="ListBullet"/>
      </w:pPr>
      <w:r>
        <w:rPr>
          <w:rFonts w:ascii="Arial" w:hAnsi="Arial"/>
          <w:b/>
          <w:sz w:val="22"/>
        </w:rPr>
        <w:t>Training Data</w:t>
      </w:r>
      <w:r>
        <w:rPr>
          <w:rFonts w:ascii="Arial" w:hAnsi="Arial"/>
          <w:sz w:val="22"/>
        </w:rPr>
        <w:t>: Training data sources and processing procedures public (with privacy protection)</w:t>
      </w:r>
    </w:p>
    <w:p>
      <w:pPr>
        <w:pStyle w:val="ListBullet"/>
      </w:pPr>
      <w:r>
        <w:rPr>
          <w:rFonts w:ascii="Arial" w:hAnsi="Arial"/>
          <w:b/>
          <w:sz w:val="22"/>
        </w:rPr>
        <w:t>Audit Reports</w:t>
      </w:r>
      <w:r>
        <w:rPr>
          <w:rFonts w:ascii="Arial" w:hAnsi="Arial"/>
          <w:sz w:val="22"/>
        </w:rPr>
        <w:t>: Regular independent third-party audit reports published</w:t>
      </w:r>
    </w:p>
    <w:p>
      <w:pPr>
        <w:pStyle w:val="ListBullet"/>
      </w:pPr>
      <w:r>
        <w:rPr>
          <w:rFonts w:ascii="Arial" w:hAnsi="Arial"/>
          <w:b/>
          <w:sz w:val="22"/>
        </w:rPr>
        <w:t>Bug Bounty</w:t>
      </w:r>
      <w:r>
        <w:rPr>
          <w:rFonts w:ascii="Arial" w:hAnsi="Arial"/>
          <w:sz w:val="22"/>
        </w:rPr>
        <w:t>: Bug bounty program established to encourage security researchers to discover and report vulnerabilities</w:t>
      </w:r>
    </w:p>
    <w:p>
      <w:r>
        <w:rPr>
          <w:rFonts w:ascii="Arial" w:hAnsi="Arial"/>
          <w:b/>
          <w:sz w:val="22"/>
        </w:rPr>
        <w:t>Seven. Implementation Roadmap</w:t>
      </w:r>
    </w:p>
    <w:p>
      <w:r>
        <w:rPr>
          <w:rFonts w:ascii="Arial" w:hAnsi="Arial"/>
          <w:sz w:val="22"/>
        </w:rPr>
        <w:t>Technical milestones for four-phase deployment</w:t>
      </w:r>
    </w:p>
    <w:p>
      <w:r>
        <w:rPr>
          <w:rFonts w:ascii="Arial" w:hAnsi="Arial"/>
          <w:b/>
          <w:sz w:val="22"/>
        </w:rPr>
        <w:t>7.1 Four-Phase Technical Roadmap</w:t>
      </w:r>
    </w:p>
    <w:tbl>
      <w:tblPr>
        <w:tblStyle w:val="LightShading-Accent1"/>
        <w:tblW w:type="auto" w:w="0"/>
        <w:tblLook w:firstColumn="1" w:firstRow="1" w:lastColumn="0" w:lastRow="0" w:noHBand="0" w:noVBand="1" w:val="04A0"/>
      </w:tblPr>
      <w:tblGrid>
        <w:gridCol w:w="9360"/>
      </w:tblGrid>
      <w:tr>
        <w:tc>
          <w:tcPr>
            <w:tcW w:type="dxa" w:w="9360"/>
          </w:tcPr>
          <w:p>
            <w:r>
              <w:rPr>
                <w:rFonts w:ascii="Arial" w:hAnsi="Arial"/>
                <w:b/>
                <w:sz w:val="18"/>
              </w:rPr>
              <w:t>Overall Strategy: From small to large, simple to complex, experiment to production; validate each phase before proceeding to the next</w:t>
            </w:r>
          </w:p>
        </w:tc>
      </w:tr>
    </w:tbl>
    <w:tbl>
      <w:tblPr>
        <w:tblStyle w:val="LightShading-Accent1"/>
        <w:tblW w:type="auto" w:w="0"/>
        <w:tblLook w:firstColumn="1" w:firstRow="1" w:lastColumn="0" w:lastRow="0" w:noHBand="0" w:noVBand="1" w:val="04A0"/>
      </w:tblPr>
      <w:tblGrid>
        <w:gridCol w:w="2340"/>
        <w:gridCol w:w="2340"/>
        <w:gridCol w:w="2340"/>
        <w:gridCol w:w="2340"/>
      </w:tblGrid>
      <w:tr>
        <w:tc>
          <w:tcPr>
            <w:tcW w:type="dxa" w:w="2340"/>
          </w:tcPr>
          <w:p>
            <w:r>
              <w:rPr>
                <w:rFonts w:ascii="Arial" w:hAnsi="Arial"/>
                <w:b/>
                <w:sz w:val="18"/>
              </w:rPr>
              <w:t>Phase</w:t>
            </w:r>
          </w:p>
        </w:tc>
        <w:tc>
          <w:tcPr>
            <w:tcW w:type="dxa" w:w="2340"/>
          </w:tcPr>
          <w:p>
            <w:r>
              <w:rPr>
                <w:rFonts w:ascii="Arial" w:hAnsi="Arial"/>
                <w:b/>
                <w:sz w:val="18"/>
              </w:rPr>
              <w:t>Timeline</w:t>
            </w:r>
          </w:p>
        </w:tc>
        <w:tc>
          <w:tcPr>
            <w:tcW w:type="dxa" w:w="2340"/>
          </w:tcPr>
          <w:p>
            <w:r>
              <w:rPr>
                <w:rFonts w:ascii="Arial" w:hAnsi="Arial"/>
                <w:b/>
                <w:sz w:val="18"/>
              </w:rPr>
              <w:t>Scale</w:t>
            </w:r>
          </w:p>
        </w:tc>
        <w:tc>
          <w:tcPr>
            <w:tcW w:type="dxa" w:w="2340"/>
          </w:tcPr>
          <w:p>
            <w:r>
              <w:rPr>
                <w:rFonts w:ascii="Arial" w:hAnsi="Arial"/>
                <w:b/>
                <w:sz w:val="18"/>
              </w:rPr>
              <w:t>Core Technical Objectives</w:t>
            </w:r>
          </w:p>
        </w:tc>
      </w:tr>
      <w:tr>
        <w:tc>
          <w:tcPr>
            <w:tcW w:type="dxa" w:w="2340"/>
          </w:tcPr>
          <w:p>
            <w:r>
              <w:rPr>
                <w:rFonts w:ascii="Arial" w:hAnsi="Arial"/>
                <w:sz w:val="18"/>
              </w:rPr>
              <w:t>Phase 1</w:t>
            </w:r>
          </w:p>
        </w:tc>
        <w:tc>
          <w:tcPr>
            <w:tcW w:type="dxa" w:w="2340"/>
          </w:tcPr>
          <w:p>
            <w:r>
              <w:rPr>
                <w:rFonts w:ascii="Arial" w:hAnsi="Arial"/>
                <w:sz w:val="18"/>
              </w:rPr>
              <w:t>0-12 months</w:t>
            </w:r>
          </w:p>
        </w:tc>
        <w:tc>
          <w:tcPr>
            <w:tcW w:type="dxa" w:w="2340"/>
          </w:tcPr>
          <w:p>
            <w:r>
              <w:rPr>
                <w:rFonts w:ascii="Arial" w:hAnsi="Arial"/>
                <w:sz w:val="18"/>
              </w:rPr>
              <w:t>Prototype Validation</w:t>
            </w:r>
          </w:p>
        </w:tc>
        <w:tc>
          <w:tcPr>
            <w:tcW w:type="dxa" w:w="2340"/>
          </w:tcPr>
          <w:p>
            <w:r>
              <w:rPr>
                <w:rFonts w:ascii="Arial" w:hAnsi="Arial"/>
                <w:sz w:val="18"/>
              </w:rPr>
              <w:t>Core model selection and fine-tuning, foundational infrastructure, prototype system validation</w:t>
            </w:r>
          </w:p>
        </w:tc>
      </w:tr>
      <w:tr>
        <w:tc>
          <w:tcPr>
            <w:tcW w:type="dxa" w:w="2340"/>
          </w:tcPr>
          <w:p>
            <w:r>
              <w:rPr>
                <w:rFonts w:ascii="Arial" w:hAnsi="Arial"/>
                <w:sz w:val="18"/>
              </w:rPr>
              <w:t>Phase 2</w:t>
            </w:r>
          </w:p>
        </w:tc>
        <w:tc>
          <w:tcPr>
            <w:tcW w:type="dxa" w:w="2340"/>
          </w:tcPr>
          <w:p>
            <w:r>
              <w:rPr>
                <w:rFonts w:ascii="Arial" w:hAnsi="Arial"/>
                <w:sz w:val="18"/>
              </w:rPr>
              <w:t>1-3 years</w:t>
            </w:r>
          </w:p>
        </w:tc>
        <w:tc>
          <w:tcPr>
            <w:tcW w:type="dxa" w:w="2340"/>
          </w:tcPr>
          <w:p>
            <w:r>
              <w:rPr>
                <w:rFonts w:ascii="Arial" w:hAnsi="Arial"/>
                <w:sz w:val="18"/>
              </w:rPr>
              <w:t>Experimental Community (5K-10K people)</w:t>
            </w:r>
          </w:p>
        </w:tc>
        <w:tc>
          <w:tcPr>
            <w:tcW w:type="dxa" w:w="2340"/>
          </w:tcPr>
          <w:p>
            <w:r>
              <w:rPr>
                <w:rFonts w:ascii="Arial" w:hAnsi="Arial"/>
                <w:sz w:val="18"/>
              </w:rPr>
              <w:t>Four core systems online, real data validation, continuous iterative optimization</w:t>
            </w:r>
          </w:p>
        </w:tc>
      </w:tr>
      <w:tr>
        <w:tc>
          <w:tcPr>
            <w:tcW w:type="dxa" w:w="2340"/>
          </w:tcPr>
          <w:p>
            <w:r>
              <w:rPr>
                <w:rFonts w:ascii="Arial" w:hAnsi="Arial"/>
                <w:sz w:val="18"/>
              </w:rPr>
              <w:t>Phase 3</w:t>
            </w:r>
          </w:p>
        </w:tc>
        <w:tc>
          <w:tcPr>
            <w:tcW w:type="dxa" w:w="2340"/>
          </w:tcPr>
          <w:p>
            <w:r>
              <w:rPr>
                <w:rFonts w:ascii="Arial" w:hAnsi="Arial"/>
                <w:sz w:val="18"/>
              </w:rPr>
              <w:t>3-8 years</w:t>
            </w:r>
          </w:p>
        </w:tc>
        <w:tc>
          <w:tcPr>
            <w:tcW w:type="dxa" w:w="2340"/>
          </w:tcPr>
          <w:p>
            <w:r>
              <w:rPr>
                <w:rFonts w:ascii="Arial" w:hAnsi="Arial"/>
                <w:sz w:val="18"/>
              </w:rPr>
              <w:t>Demonstration City (100K-500K people)</w:t>
            </w:r>
          </w:p>
        </w:tc>
        <w:tc>
          <w:tcPr>
            <w:tcW w:type="dxa" w:w="2340"/>
          </w:tcPr>
          <w:p>
            <w:r>
              <w:rPr>
                <w:rFonts w:ascii="Arial" w:hAnsi="Arial"/>
                <w:sz w:val="18"/>
              </w:rPr>
              <w:t>Complete protocol implementation, high-availability architecture, scaled validation</w:t>
            </w:r>
          </w:p>
        </w:tc>
      </w:tr>
      <w:tr>
        <w:tc>
          <w:tcPr>
            <w:tcW w:type="dxa" w:w="2340"/>
          </w:tcPr>
          <w:p>
            <w:r>
              <w:rPr>
                <w:rFonts w:ascii="Arial" w:hAnsi="Arial"/>
                <w:sz w:val="18"/>
              </w:rPr>
              <w:t>Phase 4</w:t>
            </w:r>
          </w:p>
        </w:tc>
        <w:tc>
          <w:tcPr>
            <w:tcW w:type="dxa" w:w="2340"/>
          </w:tcPr>
          <w:p>
            <w:r>
              <w:rPr>
                <w:rFonts w:ascii="Arial" w:hAnsi="Arial"/>
                <w:sz w:val="18"/>
              </w:rPr>
              <w:t>8-20 years</w:t>
            </w:r>
          </w:p>
        </w:tc>
        <w:tc>
          <w:tcPr>
            <w:tcW w:type="dxa" w:w="2340"/>
          </w:tcPr>
          <w:p>
            <w:r>
              <w:rPr>
                <w:rFonts w:ascii="Arial" w:hAnsi="Arial"/>
                <w:sz w:val="18"/>
              </w:rPr>
              <w:t>Global Alliance</w:t>
            </w:r>
          </w:p>
        </w:tc>
        <w:tc>
          <w:tcPr>
            <w:tcW w:type="dxa" w:w="2340"/>
          </w:tcPr>
          <w:p>
            <w:r>
              <w:rPr>
                <w:rFonts w:ascii="Arial" w:hAnsi="Arial"/>
                <w:sz w:val="18"/>
              </w:rPr>
              <w:t>Cross-city mutual recognition, federated learning, multi-region distributed deployment</w:t>
            </w:r>
          </w:p>
        </w:tc>
      </w:tr>
    </w:tbl>
    <w:p>
      <w:r>
        <w:rPr>
          <w:rFonts w:ascii="Arial" w:hAnsi="Arial"/>
          <w:b/>
          <w:sz w:val="22"/>
        </w:rPr>
        <w:t>7.2 Phase 1: Technical Foundation (0-12 months)</w:t>
      </w:r>
    </w:p>
    <w:p>
      <w:r>
        <w:rPr>
          <w:rFonts w:ascii="Arial" w:hAnsi="Arial"/>
          <w:b/>
          <w:sz w:val="22"/>
        </w:rPr>
        <w:t>Months 1-3: Model Selection and Foundation Validation</w:t>
      </w:r>
    </w:p>
    <w:p>
      <w:pPr>
        <w:pStyle w:val="ListBullet"/>
      </w:pPr>
      <w:r>
        <w:rPr>
          <w:rFonts w:ascii="Arial" w:hAnsi="Arial"/>
          <w:sz w:val="22"/>
        </w:rPr>
        <w:t>Complete evaluation comparison of mainstream open-source models</w:t>
      </w:r>
    </w:p>
    <w:p>
      <w:pPr>
        <w:pStyle w:val="ListBullet"/>
      </w:pPr>
      <w:r>
        <w:rPr>
          <w:rFonts w:ascii="Arial" w:hAnsi="Arial"/>
          <w:sz w:val="22"/>
        </w:rPr>
        <w:t>Determine main model and module model ratios</w:t>
      </w:r>
    </w:p>
    <w:p>
      <w:pPr>
        <w:pStyle w:val="ListBullet"/>
      </w:pPr>
      <w:r>
        <w:rPr>
          <w:rFonts w:ascii="Arial" w:hAnsi="Arial"/>
          <w:sz w:val="22"/>
        </w:rPr>
        <w:t>Build foundational training environment</w:t>
      </w:r>
    </w:p>
    <w:p>
      <w:pPr>
        <w:pStyle w:val="ListBullet"/>
      </w:pPr>
      <w:r>
        <w:rPr>
          <w:rFonts w:ascii="Arial" w:hAnsi="Arial"/>
          <w:sz w:val="22"/>
        </w:rPr>
        <w:t>Complete domain data collection and cleaning</w:t>
      </w:r>
    </w:p>
    <w:p>
      <w:pPr>
        <w:pStyle w:val="ListBullet"/>
      </w:pPr>
      <w:r>
        <w:rPr>
          <w:rFonts w:ascii="Arial" w:hAnsi="Arial"/>
          <w:sz w:val="22"/>
        </w:rPr>
        <w:t>SFT supervised fine-tuning prototype validation</w:t>
      </w:r>
    </w:p>
    <w:p>
      <w:r>
        <w:rPr>
          <w:rFonts w:ascii="Arial" w:hAnsi="Arial"/>
          <w:b/>
          <w:sz w:val="22"/>
        </w:rPr>
        <w:t>Months 4-6: Core Module Development</w:t>
      </w:r>
    </w:p>
    <w:p>
      <w:pPr>
        <w:pStyle w:val="ListBullet"/>
      </w:pPr>
      <w:r>
        <w:rPr>
          <w:rFonts w:ascii="Arial" w:hAnsi="Arial"/>
          <w:sz w:val="22"/>
        </w:rPr>
        <w:t>Regulatory enforcement module prototype</w:t>
      </w:r>
    </w:p>
    <w:p>
      <w:pPr>
        <w:pStyle w:val="ListBullet"/>
      </w:pPr>
      <w:r>
        <w:rPr>
          <w:rFonts w:ascii="Arial" w:hAnsi="Arial"/>
          <w:sz w:val="22"/>
        </w:rPr>
        <w:t>Judicial assistance module prototype (evidence collection + verdict reasoning)</w:t>
      </w:r>
    </w:p>
    <w:p>
      <w:pPr>
        <w:pStyle w:val="ListBullet"/>
      </w:pPr>
      <w:r>
        <w:rPr>
          <w:rFonts w:ascii="Arial" w:hAnsi="Arial"/>
          <w:sz w:val="22"/>
        </w:rPr>
        <w:t>RAG + knowledge graph foundational infrastructure</w:t>
      </w:r>
    </w:p>
    <w:p>
      <w:pPr>
        <w:pStyle w:val="ListBullet"/>
      </w:pPr>
      <w:r>
        <w:rPr>
          <w:rFonts w:ascii="Arial" w:hAnsi="Arial"/>
          <w:sz w:val="22"/>
        </w:rPr>
        <w:t>Reasoning chain engine development</w:t>
      </w:r>
    </w:p>
    <w:p>
      <w:pPr>
        <w:pStyle w:val="ListBullet"/>
      </w:pPr>
      <w:r>
        <w:rPr>
          <w:rFonts w:ascii="Arial" w:hAnsi="Arial"/>
          <w:sz w:val="22"/>
        </w:rPr>
        <w:t>Constitutional alignment prototype (CAI + DPO)</w:t>
      </w:r>
    </w:p>
    <w:p>
      <w:r>
        <w:rPr>
          <w:rFonts w:ascii="Arial" w:hAnsi="Arial"/>
          <w:b/>
          <w:sz w:val="22"/>
        </w:rPr>
        <w:t>Months 7-9: System Integration and Testing</w:t>
      </w:r>
    </w:p>
    <w:p>
      <w:pPr>
        <w:pStyle w:val="ListBullet"/>
      </w:pPr>
      <w:r>
        <w:rPr>
          <w:rFonts w:ascii="Arial" w:hAnsi="Arial"/>
          <w:sz w:val="22"/>
        </w:rPr>
        <w:t>Nine-module basic version integration</w:t>
      </w:r>
    </w:p>
    <w:p>
      <w:pPr>
        <w:pStyle w:val="ListBullet"/>
      </w:pPr>
      <w:r>
        <w:rPr>
          <w:rFonts w:ascii="Arial" w:hAnsi="Arial"/>
          <w:sz w:val="22"/>
        </w:rPr>
        <w:t>vLLM inference deployment environment setup</w:t>
      </w:r>
    </w:p>
    <w:p>
      <w:pPr>
        <w:pStyle w:val="ListBullet"/>
      </w:pPr>
      <w:r>
        <w:rPr>
          <w:rFonts w:ascii="Arial" w:hAnsi="Arial"/>
          <w:sz w:val="22"/>
        </w:rPr>
        <w:t>Blockchain attestation functionality integration</w:t>
      </w:r>
    </w:p>
    <w:p>
      <w:pPr>
        <w:pStyle w:val="ListBullet"/>
      </w:pPr>
      <w:r>
        <w:rPr>
          <w:rFonts w:ascii="Arial" w:hAnsi="Arial"/>
          <w:sz w:val="22"/>
        </w:rPr>
        <w:t>Security red team testing</w:t>
      </w:r>
    </w:p>
    <w:p>
      <w:pPr>
        <w:pStyle w:val="ListBullet"/>
      </w:pPr>
      <w:r>
        <w:rPr>
          <w:rFonts w:ascii="Arial" w:hAnsi="Arial"/>
          <w:sz w:val="22"/>
        </w:rPr>
        <w:t>Explainability verification</w:t>
      </w:r>
    </w:p>
    <w:p>
      <w:r>
        <w:rPr>
          <w:rFonts w:ascii="Arial" w:hAnsi="Arial"/>
          <w:b/>
          <w:sz w:val="22"/>
        </w:rPr>
        <w:t>Months 10-12: Open Source Release and Community</w:t>
      </w:r>
    </w:p>
    <w:p>
      <w:pPr>
        <w:pStyle w:val="ListBullet"/>
      </w:pPr>
      <w:r>
        <w:rPr>
          <w:rFonts w:ascii="Arial" w:hAnsi="Arial"/>
          <w:sz w:val="22"/>
        </w:rPr>
        <w:t>Open source code repository v1.0 launch</w:t>
      </w:r>
    </w:p>
    <w:p>
      <w:pPr>
        <w:pStyle w:val="ListBullet"/>
      </w:pPr>
      <w:r>
        <w:rPr>
          <w:rFonts w:ascii="Arial" w:hAnsi="Arial"/>
          <w:sz w:val="22"/>
        </w:rPr>
        <w:t>Technical documentation and deployment guide</w:t>
      </w:r>
    </w:p>
    <w:p>
      <w:pPr>
        <w:pStyle w:val="ListBullet"/>
      </w:pPr>
      <w:r>
        <w:rPr>
          <w:rFonts w:ascii="Arial" w:hAnsi="Arial"/>
          <w:sz w:val="22"/>
        </w:rPr>
        <w:t>Academic paper writing and publication</w:t>
      </w:r>
    </w:p>
    <w:p>
      <w:pPr>
        <w:pStyle w:val="ListBullet"/>
      </w:pPr>
      <w:r>
        <w:rPr>
          <w:rFonts w:ascii="Arial" w:hAnsi="Arial"/>
          <w:sz w:val="22"/>
        </w:rPr>
        <w:t>Developer community building</w:t>
      </w:r>
    </w:p>
    <w:p>
      <w:pPr>
        <w:pStyle w:val="ListBullet"/>
      </w:pPr>
      <w:r>
        <w:rPr>
          <w:rFonts w:ascii="Arial" w:hAnsi="Arial"/>
          <w:sz w:val="22"/>
        </w:rPr>
        <w:t>Independent third-party security audit</w:t>
      </w:r>
    </w:p>
    <w:p>
      <w:r>
        <w:rPr>
          <w:rFonts w:ascii="Arial" w:hAnsi="Arial"/>
          <w:b/>
          <w:sz w:val="22"/>
        </w:rPr>
        <w:t>7.3 Phase 2: Experimental Community (1-3 years)</w:t>
      </w:r>
    </w:p>
    <w:p>
      <w:r>
        <w:rPr>
          <w:rFonts w:ascii="Arial" w:hAnsi="Arial"/>
          <w:b/>
          <w:sz w:val="22"/>
        </w:rPr>
        <w:t>Months 12-18: Four Core Systems Online</w:t>
      </w:r>
    </w:p>
    <w:p>
      <w:pPr>
        <w:pStyle w:val="ListBullet"/>
      </w:pPr>
      <w:r>
        <w:rPr>
          <w:rFonts w:ascii="Arial" w:hAnsi="Arial"/>
          <w:sz w:val="22"/>
        </w:rPr>
        <w:t>AI-Citizen ID System: Digital identity, zero-knowledge proof, privacy protection</w:t>
      </w:r>
    </w:p>
    <w:p>
      <w:pPr>
        <w:pStyle w:val="ListBullet"/>
      </w:pPr>
      <w:r>
        <w:rPr>
          <w:rFonts w:ascii="Arial" w:hAnsi="Arial"/>
          <w:sz w:val="22"/>
        </w:rPr>
        <w:t>On-chain Voting System: Popular consensus layer, transparent voting, verifiable results</w:t>
      </w:r>
    </w:p>
    <w:p>
      <w:pPr>
        <w:pStyle w:val="ListBullet"/>
      </w:pPr>
      <w:r>
        <w:rPr>
          <w:rFonts w:ascii="Arial" w:hAnsi="Arial"/>
          <w:sz w:val="22"/>
        </w:rPr>
        <w:t>On-chain Treasury System: Budget execution, UBI distribution, real-time transparency</w:t>
      </w:r>
    </w:p>
    <w:p>
      <w:pPr>
        <w:pStyle w:val="ListBullet"/>
      </w:pPr>
      <w:r>
        <w:rPr>
          <w:rFonts w:ascii="Arial" w:hAnsi="Arial"/>
          <w:sz w:val="22"/>
        </w:rPr>
        <w:t>AI Approval System: Administrative approval automation, rule enforcement, traceability</w:t>
      </w:r>
    </w:p>
    <w:p>
      <w:r>
        <w:rPr>
          <w:rFonts w:ascii="Arial" w:hAnsi="Arial"/>
          <w:b/>
          <w:sz w:val="22"/>
        </w:rPr>
        <w:t>Months 18-24: AI Court Prototype</w:t>
      </w:r>
    </w:p>
    <w:p>
      <w:pPr>
        <w:pStyle w:val="ListBullet"/>
      </w:pPr>
      <w:r>
        <w:rPr>
          <w:rFonts w:ascii="Arial" w:hAnsi="Arial"/>
          <w:sz w:val="22"/>
        </w:rPr>
        <w:t>AI-assisted civil case adjudication</w:t>
      </w:r>
    </w:p>
    <w:p>
      <w:pPr>
        <w:pStyle w:val="ListBullet"/>
      </w:pPr>
      <w:r>
        <w:rPr>
          <w:rFonts w:ascii="Arial" w:hAnsi="Arial"/>
          <w:sz w:val="22"/>
        </w:rPr>
        <w:t>Random jury system</w:t>
      </w:r>
    </w:p>
    <w:p>
      <w:pPr>
        <w:pStyle w:val="ListBullet"/>
      </w:pPr>
      <w:r>
        <w:rPr>
          <w:rFonts w:ascii="Arial" w:hAnsi="Arial"/>
          <w:sz w:val="22"/>
        </w:rPr>
        <w:t>Evidence chain management</w:t>
      </w:r>
    </w:p>
    <w:p>
      <w:pPr>
        <w:pStyle w:val="ListBullet"/>
      </w:pPr>
      <w:r>
        <w:rPr>
          <w:rFonts w:ascii="Arial" w:hAnsi="Arial"/>
          <w:sz w:val="22"/>
        </w:rPr>
        <w:t>Appeal and review mechanisms</w:t>
      </w:r>
    </w:p>
    <w:p>
      <w:pPr>
        <w:pStyle w:val="ListBullet"/>
      </w:pPr>
      <w:r>
        <w:rPr>
          <w:rFonts w:ascii="Arial" w:hAnsi="Arial"/>
          <w:sz w:val="22"/>
        </w:rPr>
        <w:t>Processing speed &gt;80% improvement over traditional judiciary</w:t>
      </w:r>
    </w:p>
    <w:p>
      <w:r>
        <w:rPr>
          <w:rFonts w:ascii="Arial" w:hAnsi="Arial"/>
          <w:b/>
          <w:sz w:val="22"/>
        </w:rPr>
        <w:t>Months 24-36: Optimization and Expansion</w:t>
      </w:r>
    </w:p>
    <w:p>
      <w:pPr>
        <w:pStyle w:val="ListBullet"/>
      </w:pPr>
      <w:r>
        <w:rPr>
          <w:rFonts w:ascii="Arial" w:hAnsi="Arial"/>
          <w:sz w:val="22"/>
        </w:rPr>
        <w:t>Iterative model refinement based on real operational data</w:t>
      </w:r>
    </w:p>
    <w:p>
      <w:pPr>
        <w:pStyle w:val="ListBullet"/>
      </w:pPr>
      <w:r>
        <w:rPr>
          <w:rFonts w:ascii="Arial" w:hAnsi="Arial"/>
          <w:sz w:val="22"/>
        </w:rPr>
        <w:t>High-availability architecture upgrade</w:t>
      </w:r>
    </w:p>
    <w:p>
      <w:pPr>
        <w:pStyle w:val="ListBullet"/>
      </w:pPr>
      <w:r>
        <w:rPr>
          <w:rFonts w:ascii="Arial" w:hAnsi="Arial"/>
          <w:sz w:val="22"/>
        </w:rPr>
        <w:t>Refinement of monitoring and audit systems</w:t>
      </w:r>
    </w:p>
    <w:p>
      <w:pPr>
        <w:pStyle w:val="ListBullet"/>
      </w:pPr>
      <w:r>
        <w:rPr>
          <w:rFonts w:ascii="Arial" w:hAnsi="Arial"/>
          <w:sz w:val="22"/>
        </w:rPr>
        <w:t>Deviation detection and correction mechanisms</w:t>
      </w:r>
    </w:p>
    <w:p>
      <w:pPr>
        <w:pStyle w:val="ListBullet"/>
      </w:pPr>
      <w:r>
        <w:rPr>
          <w:rFonts w:ascii="Arial" w:hAnsi="Arial"/>
          <w:sz w:val="22"/>
        </w:rPr>
        <w:t>Open site visits and data disclosure</w:t>
      </w:r>
    </w:p>
    <w:p>
      <w:r>
        <w:rPr>
          <w:rFonts w:ascii="Arial" w:hAnsi="Arial"/>
          <w:b/>
          <w:sz w:val="22"/>
        </w:rPr>
        <w:t>7.4 Phase Three: Demonstration Cities (3-8 Years)</w:t>
      </w:r>
    </w:p>
    <w:p>
      <w:r>
        <w:rPr>
          <w:rFonts w:ascii="Arial" w:hAnsi="Arial"/>
          <w:b/>
          <w:sz w:val="22"/>
        </w:rPr>
        <w:t>Years 3-5: Scale Expansion</w:t>
      </w:r>
    </w:p>
    <w:p>
      <w:pPr>
        <w:pStyle w:val="ListBullet"/>
      </w:pPr>
      <w:r>
        <w:rPr>
          <w:rFonts w:ascii="Arial" w:hAnsi="Arial"/>
          <w:sz w:val="22"/>
        </w:rPr>
        <w:t>Scaling from 10,000 to 500,000 residents</w:t>
      </w:r>
    </w:p>
    <w:p>
      <w:pPr>
        <w:pStyle w:val="ListBullet"/>
      </w:pPr>
      <w:r>
        <w:rPr>
          <w:rFonts w:ascii="Arial" w:hAnsi="Arial"/>
          <w:sz w:val="22"/>
        </w:rPr>
        <w:t>Full AI judicial system officially in operation (including commercial disputes)</w:t>
      </w:r>
    </w:p>
    <w:p>
      <w:pPr>
        <w:pStyle w:val="ListBullet"/>
      </w:pPr>
      <w:r>
        <w:rPr>
          <w:rFonts w:ascii="Arial" w:hAnsi="Arial"/>
          <w:sz w:val="22"/>
        </w:rPr>
        <w:t>Distributed inference cluster deployment</w:t>
      </w:r>
    </w:p>
    <w:p>
      <w:pPr>
        <w:pStyle w:val="ListBullet"/>
      </w:pPr>
      <w:r>
        <w:rPr>
          <w:rFonts w:ascii="Arial" w:hAnsi="Arial"/>
          <w:sz w:val="22"/>
        </w:rPr>
        <w:t>Multi-availability-zone high-availability architecture</w:t>
      </w:r>
    </w:p>
    <w:p>
      <w:pPr>
        <w:pStyle w:val="ListBullet"/>
      </w:pPr>
      <w:r>
        <w:rPr>
          <w:rFonts w:ascii="Arial" w:hAnsi="Arial"/>
          <w:sz w:val="22"/>
        </w:rPr>
        <w:t>Disaster recovery system construction</w:t>
      </w:r>
    </w:p>
    <w:p>
      <w:r>
        <w:rPr>
          <w:rFonts w:ascii="Arial" w:hAnsi="Arial"/>
          <w:b/>
          <w:sz w:val="22"/>
        </w:rPr>
        <w:t>Years 5-7: Complete Protocol Implementation</w:t>
      </w:r>
    </w:p>
    <w:p>
      <w:pPr>
        <w:pStyle w:val="ListBullet"/>
      </w:pPr>
      <w:r>
        <w:rPr>
          <w:rFonts w:ascii="Arial" w:hAnsi="Arial"/>
          <w:sz w:val="22"/>
        </w:rPr>
        <w:t>City-wide UBI coverage</w:t>
      </w:r>
    </w:p>
    <w:p>
      <w:pPr>
        <w:pStyle w:val="ListBullet"/>
      </w:pPr>
      <w:r>
        <w:rPr>
          <w:rFonts w:ascii="Arial" w:hAnsi="Arial"/>
          <w:sz w:val="22"/>
        </w:rPr>
        <w:t>Digital equity annual dividends initiated</w:t>
      </w:r>
    </w:p>
    <w:p>
      <w:pPr>
        <w:pStyle w:val="ListBullet"/>
      </w:pPr>
      <w:r>
        <w:rPr>
          <w:rFonts w:ascii="Arial" w:hAnsi="Arial"/>
          <w:sz w:val="22"/>
        </w:rPr>
        <w:t>AI urban planning system assuming infrastructure decisions</w:t>
      </w:r>
    </w:p>
    <w:p>
      <w:pPr>
        <w:pStyle w:val="ListBullet"/>
      </w:pPr>
      <w:r>
        <w:rPr>
          <w:rFonts w:ascii="Arial" w:hAnsi="Arial"/>
          <w:sz w:val="22"/>
        </w:rPr>
        <w:t>Economic regulation module deployed</w:t>
      </w:r>
    </w:p>
    <w:p>
      <w:pPr>
        <w:pStyle w:val="ListBullet"/>
      </w:pPr>
      <w:r>
        <w:rPr>
          <w:rFonts w:ascii="Arial" w:hAnsi="Arial"/>
          <w:sz w:val="22"/>
        </w:rPr>
        <w:t>Risk early-warning system fully operational</w:t>
      </w:r>
    </w:p>
    <w:p>
      <w:r>
        <w:rPr>
          <w:rFonts w:ascii="Arial" w:hAnsi="Arial"/>
          <w:b/>
          <w:sz w:val="22"/>
        </w:rPr>
        <w:t>Years 7-8: Tooling and Reproducibility</w:t>
      </w:r>
    </w:p>
    <w:p>
      <w:pPr>
        <w:pStyle w:val="ListBullet"/>
      </w:pPr>
      <w:r>
        <w:rPr>
          <w:rFonts w:ascii="Arial" w:hAnsi="Arial"/>
          <w:sz w:val="22"/>
        </w:rPr>
        <w:t>Protocol toolkit v1.0 released</w:t>
      </w:r>
    </w:p>
    <w:p>
      <w:pPr>
        <w:pStyle w:val="ListBullet"/>
      </w:pPr>
      <w:r>
        <w:rPr>
          <w:rFonts w:ascii="Arial" w:hAnsi="Arial"/>
          <w:sz w:val="22"/>
        </w:rPr>
        <w:t>Standardized deployment solution</w:t>
      </w:r>
    </w:p>
    <w:p>
      <w:pPr>
        <w:pStyle w:val="ListBullet"/>
      </w:pPr>
      <w:r>
        <w:rPr>
          <w:rFonts w:ascii="Arial" w:hAnsi="Arial"/>
          <w:sz w:val="22"/>
        </w:rPr>
        <w:t>Operations manual published</w:t>
      </w:r>
    </w:p>
    <w:p>
      <w:pPr>
        <w:pStyle w:val="ListBullet"/>
      </w:pPr>
      <w:r>
        <w:rPr>
          <w:rFonts w:ascii="Arial" w:hAnsi="Arial"/>
          <w:sz w:val="22"/>
        </w:rPr>
        <w:t>First external city partial adoption</w:t>
      </w:r>
    </w:p>
    <w:p>
      <w:pPr>
        <w:pStyle w:val="ListBullet"/>
      </w:pPr>
      <w:r>
        <w:rPr>
          <w:rFonts w:ascii="Arial" w:hAnsi="Arial"/>
          <w:sz w:val="22"/>
        </w:rPr>
        <w:t>Independent security certification obtained</w:t>
      </w:r>
    </w:p>
    <w:p>
      <w:r>
        <w:rPr>
          <w:rFonts w:ascii="Arial" w:hAnsi="Arial"/>
          <w:b/>
          <w:sz w:val="22"/>
        </w:rPr>
        <w:t>7.5 Phase Four: Global Alliance (8-20 Years)</w:t>
      </w:r>
    </w:p>
    <w:p>
      <w:r>
        <w:rPr>
          <w:rFonts w:ascii="Arial" w:hAnsi="Arial"/>
          <w:b/>
          <w:sz w:val="22"/>
        </w:rPr>
        <w:t>Years 8-12: City Interconnection</w:t>
      </w:r>
    </w:p>
    <w:p>
      <w:pPr>
        <w:pStyle w:val="ListBullet"/>
      </w:pPr>
      <w:r>
        <w:rPr>
          <w:rFonts w:ascii="Arial" w:hAnsi="Arial"/>
          <w:sz w:val="22"/>
        </w:rPr>
        <w:t>AI Charter Cities Consortium (ACCN) established</w:t>
      </w:r>
    </w:p>
    <w:p>
      <w:pPr>
        <w:pStyle w:val="ListBullet"/>
      </w:pPr>
      <w:r>
        <w:rPr>
          <w:rFonts w:ascii="Arial" w:hAnsi="Arial"/>
          <w:sz w:val="22"/>
        </w:rPr>
        <w:t>AI-Citizen ID cross-city mutual recognition</w:t>
      </w:r>
    </w:p>
    <w:p>
      <w:pPr>
        <w:pStyle w:val="ListBullet"/>
      </w:pPr>
      <w:r>
        <w:rPr>
          <w:rFonts w:ascii="Arial" w:hAnsi="Arial"/>
          <w:sz w:val="22"/>
        </w:rPr>
        <w:t>Inter-city data sharing protocols</w:t>
      </w:r>
    </w:p>
    <w:p>
      <w:pPr>
        <w:pStyle w:val="ListBullet"/>
      </w:pPr>
      <w:r>
        <w:rPr>
          <w:rFonts w:ascii="Arial" w:hAnsi="Arial"/>
          <w:sz w:val="22"/>
        </w:rPr>
        <w:t>Federated learning system (shared model improvements with privacy protection)</w:t>
      </w:r>
    </w:p>
    <w:p>
      <w:pPr>
        <w:pStyle w:val="ListBullet"/>
      </w:pPr>
      <w:r>
        <w:rPr>
          <w:rFonts w:ascii="Arial" w:hAnsi="Arial"/>
          <w:sz w:val="22"/>
        </w:rPr>
        <w:t>20+ cities interconnected</w:t>
      </w:r>
    </w:p>
    <w:p>
      <w:r>
        <w:rPr>
          <w:rFonts w:ascii="Arial" w:hAnsi="Arial"/>
          <w:b/>
          <w:sz w:val="22"/>
        </w:rPr>
        <w:t>Years 12-15: National-Level Adoption</w:t>
      </w:r>
    </w:p>
    <w:p>
      <w:pPr>
        <w:pStyle w:val="ListBullet"/>
      </w:pPr>
      <w:r>
        <w:rPr>
          <w:rFonts w:ascii="Arial" w:hAnsi="Arial"/>
          <w:sz w:val="22"/>
        </w:rPr>
        <w:t>First sovereign nation formally adopts AI governance core protocol</w:t>
      </w:r>
    </w:p>
    <w:p>
      <w:pPr>
        <w:pStyle w:val="ListBullet"/>
      </w:pPr>
      <w:r>
        <w:rPr>
          <w:rFonts w:ascii="Arial" w:hAnsi="Arial"/>
          <w:sz w:val="22"/>
        </w:rPr>
        <w:t>United Nations deliberates on draft international convention for AI governance framework</w:t>
      </w:r>
    </w:p>
    <w:p>
      <w:pPr>
        <w:pStyle w:val="ListBullet"/>
      </w:pPr>
      <w:r>
        <w:rPr>
          <w:rFonts w:ascii="Arial" w:hAnsi="Arial"/>
          <w:sz w:val="22"/>
        </w:rPr>
        <w:t>Global Ethics Audit Committee officially operational</w:t>
      </w:r>
    </w:p>
    <w:p>
      <w:pPr>
        <w:pStyle w:val="ListBullet"/>
      </w:pPr>
      <w:r>
        <w:rPr>
          <w:rFonts w:ascii="Arial" w:hAnsi="Arial"/>
          <w:sz w:val="22"/>
        </w:rPr>
        <w:t>Post-quantum cryptography system upgrade</w:t>
      </w:r>
    </w:p>
    <w:p>
      <w:r>
        <w:rPr>
          <w:rFonts w:ascii="Arial" w:hAnsi="Arial"/>
          <w:b/>
          <w:sz w:val="22"/>
        </w:rPr>
        <w:t>Years 15-20: Global Network</w:t>
      </w:r>
    </w:p>
    <w:p>
      <w:pPr>
        <w:pStyle w:val="ListBullet"/>
      </w:pPr>
      <w:r>
        <w:rPr>
          <w:rFonts w:ascii="Arial" w:hAnsi="Arial"/>
          <w:sz w:val="22"/>
        </w:rPr>
        <w:t>AI civilization network spanning 100+ cities</w:t>
      </w:r>
    </w:p>
    <w:p>
      <w:pPr>
        <w:pStyle w:val="ListBullet"/>
      </w:pPr>
      <w:r>
        <w:rPr>
          <w:rFonts w:ascii="Arial" w:hAnsi="Arial"/>
          <w:sz w:val="22"/>
        </w:rPr>
        <w:t>City network GDP exceeding one of the world's major economies</w:t>
      </w:r>
    </w:p>
    <w:p>
      <w:pPr>
        <w:pStyle w:val="ListBullet"/>
      </w:pPr>
      <w:r>
        <w:rPr>
          <w:rFonts w:ascii="Arial" w:hAnsi="Arial"/>
          <w:sz w:val="22"/>
        </w:rPr>
        <w:t>AI governance becoming one of the mainstream governance models</w:t>
      </w:r>
    </w:p>
    <w:p>
      <w:pPr>
        <w:pStyle w:val="ListBullet"/>
      </w:pPr>
      <w:r>
        <w:rPr>
          <w:rFonts w:ascii="Arial" w:hAnsi="Arial"/>
          <w:sz w:val="22"/>
        </w:rPr>
        <w:t>Continuous iterative optimization, entering mature and stable phase</w:t>
      </w:r>
    </w:p>
    <w:p>
      <w:r>
        <w:rPr>
          <w:rFonts w:ascii="Arial" w:hAnsi="Arial"/>
          <w:b/>
          <w:sz w:val="22"/>
        </w:rPr>
        <w:t>7.6 Key Technical Milestones</w:t>
      </w:r>
    </w:p>
    <w:p>
      <w:r>
        <w:rPr>
          <w:rFonts w:ascii="Arial" w:hAnsi="Arial"/>
          <w:sz w:val="22"/>
        </w:rPr>
        <w:t>----------- ------------------------- ------------------------------------ Timeline    Technical Milestone       Verification Criteria Month 6     SFT fine-tuning validated  Governance task accuracy &gt;85% Month 9     Constitutional alignment   Red team pass rate &gt;95% validated Month 12    Open-source v1.0 release   200+ GitHub Stars, 30+ contributors Month 18    First complete governance   Dispute resolution &lt;48h, 100% fiscal cycle                      transparency Month 24    AI court prototype         Satisfaction &gt;75%, appeal rate &lt;20% online Month 36    Experimental community     Resident satisfaction &gt;70%, system validation complete        availability &gt;99.9% Year 5      Demonstration city fully    Commercial disputes &lt;72h, cost &lt;20% operational               of traditional Year 8      Reproducible toolkit       At least 1 external city adoption released Year 12     Cross-city mutual          20+ cities interconnected, frictionless recognition online         migration ----------- ------------------------- ------------------------------------</w:t>
      </w:r>
    </w:p>
    <w:p>
      <w:r>
        <w:rPr>
          <w:rFonts w:ascii="Arial" w:hAnsi="Arial"/>
          <w:b/>
          <w:sz w:val="22"/>
        </w:rPr>
        <w:t>VIII. Cost and Resource Estimates</w:t>
      </w:r>
    </w:p>
    <w:p>
      <w:r>
        <w:rPr>
          <w:rFonts w:ascii="Arial" w:hAnsi="Arial"/>
          <w:sz w:val="22"/>
        </w:rPr>
        <w:t>Computational power, human resources, and timeline projections</w:t>
      </w:r>
    </w:p>
    <w:p>
      <w:r>
        <w:rPr>
          <w:rFonts w:ascii="Arial" w:hAnsi="Arial"/>
          <w:b/>
          <w:sz w:val="22"/>
        </w:rPr>
        <w:t>8.1 Computational Resource Estimates</w:t>
      </w:r>
    </w:p>
    <w:p>
      <w:r>
        <w:rPr>
          <w:rFonts w:ascii="Arial" w:hAnsi="Arial"/>
          <w:b/>
          <w:sz w:val="22"/>
        </w:rPr>
        <w:t>8.1.1 Training Computational Requirements</w:t>
      </w:r>
    </w:p>
    <w:p>
      <w:r>
        <w:rPr>
          <w:rFonts w:ascii="Arial" w:hAnsi="Arial"/>
          <w:sz w:val="22"/>
        </w:rPr>
        <w:t>-------------------- ------------- ------------ ---------- Training Phase       Model Scale   GPU Demand   Est. Duration SFT Supervised       72B (QLoRA)   2×H100 80G   3-5 days Fine-tuning DPO Preference       72B (QLoRA)   2×H100 80G   2-3 days Optimization CAI Self-Alignment   72B           4×H100 80G   5-7 days Full-Parameter       72B           8×H100 80G   10-15 days Fine-tuning (Optional) Small Model          14B (LoRA)    1×A100 80G   1-2 days Fine-tuning -------------------- ------------- ------------ ----------</w:t>
      </w:r>
    </w:p>
    <w:p>
      <w:r>
        <w:rPr>
          <w:rFonts w:ascii="Arial" w:hAnsi="Arial"/>
          <w:sz w:val="22"/>
        </w:rPr>
        <w:t xml:space="preserve">-------------------------------------------------------------------------------------------------------------------------------------------------------- </w:t>
      </w:r>
      <w:r>
        <w:rPr>
          <w:rFonts w:ascii="Arial" w:hAnsi="Arial"/>
          <w:b/>
          <w:sz w:val="22"/>
        </w:rPr>
        <w:t>Zero-Cost Solution Note</w:t>
      </w:r>
      <w:r>
        <w:rPr>
          <w:rFonts w:ascii="Arial" w:hAnsi="Arial"/>
          <w:sz w:val="22"/>
        </w:rPr>
        <w:t>: Free GPU resources (such as Colab Pro, Kaggle, Alibaba Cloud free quotas, etc.) can be used for prototype validation and small model training. Core model training can consider applying for free computational support from research institutions. --------------------------------------------------------------------------------------------------------------------------------------------------------</w:t>
      </w:r>
    </w:p>
    <w:p>
      <w:r>
        <w:rPr>
          <w:rFonts w:ascii="Arial" w:hAnsi="Arial"/>
          <w:b/>
          <w:sz w:val="22"/>
        </w:rPr>
        <w:t>8.1.2 Inference Computational Requirements (By Phase)</w:t>
      </w:r>
    </w:p>
    <w:p>
      <w:r>
        <w:rPr>
          <w:rFonts w:ascii="Arial" w:hAnsi="Arial"/>
          <w:sz w:val="22"/>
        </w:rPr>
        <w:t>----------- --------------- -------------- ---------------------- Phase       User Scale      GPU Config     Monthly Compute Cost (Est.) Prototype   &lt;100 users      1×H100 80G     ~20,000 CNY/month (cloud service) validation Experimental 5K-10K users   4×H100 80G     ~80,000-100,000 CNY/month community Demonstration 100K-500K     32×H100 80G    ~600,000-800,000 CNY/month city Global       Million+        Distributed    Calculated independently by Alliance                    multi-region   each city ----------- --------------- -------------- ----------------------</w:t>
      </w:r>
    </w:p>
    <w:p>
      <w:r>
        <w:rPr>
          <w:rFonts w:ascii="Arial" w:hAnsi="Arial"/>
          <w:b/>
          <w:sz w:val="22"/>
        </w:rPr>
        <w:t>8.2 Human Resource Estimates</w:t>
      </w:r>
    </w:p>
    <w:p>
      <w:r>
        <w:rPr>
          <w:rFonts w:ascii="Arial" w:hAnsi="Arial"/>
          <w:b/>
          <w:sz w:val="22"/>
        </w:rPr>
        <w:t>8.2.1 Phase One Team Configuration (0-12 Months)</w:t>
      </w:r>
    </w:p>
    <w:p>
      <w:r>
        <w:rPr>
          <w:rFonts w:ascii="Arial" w:hAnsi="Arial"/>
          <w:sz w:val="22"/>
        </w:rPr>
        <w:t>------------------- ------- -------------------------------------- Role                Count   Responsibilities AI Algorithm        2-3     Model fine-tuning, alignment techniques, Engineer                   RAG development Backend Engineer    2       System architecture, API development, service deployment Blockchain          1       On-chain attestation, smart contracts, Engineer                    ZKP Frontend Engineer   1       User interface, admin dashboard Legal/Governance    1-2     Rule design, data labeling, ethics review Expert Product Manager     1       Requirements management, progress coordination ------------------- ------- --------------------------------------</w:t>
      </w:r>
    </w:p>
    <w:p>
      <w:r>
        <w:rPr>
          <w:rFonts w:ascii="Arial" w:hAnsi="Arial"/>
          <w:b/>
          <w:sz w:val="22"/>
        </w:rPr>
        <w:t>Phase One Total Headcount</w:t>
      </w:r>
      <w:r>
        <w:rPr>
          <w:rFonts w:ascii="Arial" w:hAnsi="Arial"/>
          <w:sz w:val="22"/>
        </w:rPr>
        <w:t>: 8-10 personnel</w:t>
      </w:r>
    </w:p>
    <w:p>
      <w:r>
        <w:rPr>
          <w:rFonts w:ascii="Arial" w:hAnsi="Arial"/>
          <w:b/>
          <w:sz w:val="22"/>
        </w:rPr>
        <w:t>8.2.2 Phase Two Team Expansion (1-3 Years)</w:t>
      </w:r>
    </w:p>
    <w:p>
      <w:pPr>
        <w:pStyle w:val="ListBullet"/>
      </w:pPr>
      <w:r>
        <w:rPr>
          <w:rFonts w:ascii="Arial" w:hAnsi="Arial"/>
          <w:sz w:val="22"/>
        </w:rPr>
        <w:t>AI team expanded to 5-8 personnel: adding NLP, knowledge graph, and safety alignment experts</w:t>
      </w:r>
    </w:p>
    <w:p>
      <w:pPr>
        <w:pStyle w:val="ListBullet"/>
      </w:pPr>
      <w:r>
        <w:rPr>
          <w:rFonts w:ascii="Arial" w:hAnsi="Arial"/>
          <w:sz w:val="22"/>
        </w:rPr>
        <w:t>Engineering team expanded to 8-10 personnel: adding DevOps, testing, and SRE</w:t>
      </w:r>
    </w:p>
    <w:p>
      <w:pPr>
        <w:pStyle w:val="ListBullet"/>
      </w:pPr>
      <w:r>
        <w:rPr>
          <w:rFonts w:ascii="Arial" w:hAnsi="Arial"/>
          <w:sz w:val="22"/>
        </w:rPr>
        <w:t>Security team added: 2-3 personnel, responsible for security audits and red team testing</w:t>
      </w:r>
    </w:p>
    <w:p>
      <w:pPr>
        <w:pStyle w:val="ListBullet"/>
      </w:pPr>
      <w:r>
        <w:rPr>
          <w:rFonts w:ascii="Arial" w:hAnsi="Arial"/>
          <w:sz w:val="22"/>
        </w:rPr>
        <w:t>Operations team added: 3-5 personnel, responsible for community, user support, and documentation</w:t>
      </w:r>
    </w:p>
    <w:p>
      <w:pPr>
        <w:pStyle w:val="ListBullet"/>
      </w:pPr>
      <w:r>
        <w:rPr>
          <w:rFonts w:ascii="Arial" w:hAnsi="Arial"/>
          <w:b/>
          <w:sz w:val="22"/>
        </w:rPr>
        <w:t>Phase Two Total Headcount</w:t>
      </w:r>
      <w:r>
        <w:rPr>
          <w:rFonts w:ascii="Arial" w:hAnsi="Arial"/>
          <w:sz w:val="22"/>
        </w:rPr>
        <w:t>: 20-25 personnel</w:t>
      </w:r>
    </w:p>
    <w:p>
      <w:r>
        <w:rPr>
          <w:rFonts w:ascii="Arial" w:hAnsi="Arial"/>
          <w:b/>
          <w:sz w:val="22"/>
        </w:rPr>
        <w:t>8.2.3 Phase Three Team (3-8 Years)</w:t>
      </w:r>
    </w:p>
    <w:p>
      <w:pPr>
        <w:pStyle w:val="ListBullet"/>
      </w:pPr>
      <w:r>
        <w:rPr>
          <w:rFonts w:ascii="Arial" w:hAnsi="Arial"/>
          <w:sz w:val="22"/>
        </w:rPr>
        <w:t>Full technical team: 30-50 personnel</w:t>
      </w:r>
    </w:p>
    <w:p>
      <w:pPr>
        <w:pStyle w:val="ListBullet"/>
      </w:pPr>
      <w:r>
        <w:rPr>
          <w:rFonts w:ascii="Arial" w:hAnsi="Arial"/>
          <w:sz w:val="22"/>
        </w:rPr>
        <w:t>Security and audit team: 10-15 personnel</w:t>
      </w:r>
    </w:p>
    <w:p>
      <w:pPr>
        <w:pStyle w:val="ListBullet"/>
      </w:pPr>
      <w:r>
        <w:rPr>
          <w:rFonts w:ascii="Arial" w:hAnsi="Arial"/>
          <w:sz w:val="22"/>
        </w:rPr>
        <w:t>Operations and support team: 15-20 personnel</w:t>
      </w:r>
    </w:p>
    <w:p>
      <w:pPr>
        <w:pStyle w:val="ListBullet"/>
      </w:pPr>
      <w:r>
        <w:rPr>
          <w:rFonts w:ascii="Arial" w:hAnsi="Arial"/>
          <w:sz w:val="22"/>
        </w:rPr>
        <w:t>Research and innovation team: 10-15 personnel</w:t>
      </w:r>
    </w:p>
    <w:p>
      <w:pPr>
        <w:pStyle w:val="ListBullet"/>
      </w:pPr>
      <w:r>
        <w:rPr>
          <w:rFonts w:ascii="Arial" w:hAnsi="Arial"/>
          <w:b/>
          <w:sz w:val="22"/>
        </w:rPr>
        <w:t>Phase Three Total Headcount</w:t>
      </w:r>
      <w:r>
        <w:rPr>
          <w:rFonts w:ascii="Arial" w:hAnsi="Arial"/>
          <w:sz w:val="22"/>
        </w:rPr>
        <w:t>: 60-100 personnel</w:t>
      </w:r>
    </w:p>
    <w:p>
      <w:r>
        <w:rPr>
          <w:rFonts w:ascii="Arial" w:hAnsi="Arial"/>
          <w:b/>
          <w:sz w:val="22"/>
        </w:rPr>
        <w:t>8.3 Cost Estimates</w:t>
      </w:r>
    </w:p>
    <w:p>
      <w:r>
        <w:rPr>
          <w:rFonts w:ascii="Arial" w:hAnsi="Arial"/>
          <w:b/>
          <w:sz w:val="22"/>
        </w:rPr>
        <w:t>8.3.1 Phase One Costs (0-12 Months)</w:t>
      </w:r>
    </w:p>
    <w:p>
      <w:r>
        <w:rPr>
          <w:rFonts w:ascii="Arial" w:hAnsi="Arial"/>
          <w:sz w:val="22"/>
        </w:rPr>
        <w:t xml:space="preserve">------------- -------------------------- --------------------------- Item          Estimated Cost             Description Personnel     8-12 million CNY           8-10 personnel × 12 months, costs                                     including social insurance, etc. Compute       500K-1 million CNY         Training + inference, cloud costs                                     services or self-built Data costs    500K-1 million CNY         Data acquisition, cleaning, labeling Other costs   500K-1 million CNY         Office, software, travel, etc. </w:t>
      </w:r>
      <w:r>
        <w:rPr>
          <w:rFonts w:ascii="Arial" w:hAnsi="Arial"/>
          <w:b/>
          <w:sz w:val="22"/>
        </w:rPr>
        <w:t>Total</w:t>
      </w:r>
      <w:r>
        <w:rPr>
          <w:rFonts w:ascii="Arial" w:hAnsi="Arial"/>
          <w:sz w:val="22"/>
        </w:rPr>
        <w:t xml:space="preserve">     </w:t>
      </w:r>
      <w:r>
        <w:rPr>
          <w:rFonts w:ascii="Arial" w:hAnsi="Arial"/>
          <w:b/>
          <w:sz w:val="22"/>
        </w:rPr>
        <w:t>9.5-15 million CNY</w:t>
      </w:r>
      <w:r>
        <w:rPr>
          <w:rFonts w:ascii="Arial" w:hAnsi="Arial"/>
          <w:sz w:val="22"/>
        </w:rPr>
        <w:t xml:space="preserve">     Phase One total investment ------------- -------------------------- ---------------------------</w:t>
      </w:r>
    </w:p>
    <w:p>
      <w:r>
        <w:rPr>
          <w:rFonts w:ascii="Arial" w:hAnsi="Arial"/>
          <w:sz w:val="22"/>
        </w:rPr>
        <w:t>+------------------------------------------+</w:t>
      </w:r>
    </w:p>
    <w:tbl>
      <w:tblPr>
        <w:tblStyle w:val="LightShading-Accent1"/>
        <w:tblW w:type="auto" w:w="0"/>
        <w:tblLook w:firstColumn="1" w:firstRow="1" w:lastColumn="0" w:lastRow="0" w:noHBand="0" w:noVBand="1" w:val="04A0"/>
      </w:tblPr>
      <w:tblGrid>
        <w:gridCol w:w="9360"/>
      </w:tblGrid>
      <w:tr>
        <w:tc>
          <w:tcPr>
            <w:tcW w:type="dxa" w:w="9360"/>
          </w:tcPr>
          <w:p>
            <w:r>
              <w:rPr>
                <w:rFonts w:ascii="Arial" w:hAnsi="Arial"/>
                <w:b/>
                <w:sz w:val="18"/>
              </w:rPr>
              <w:t>Zero-Cost/Low-Cost Startup Solution:</w:t>
            </w:r>
          </w:p>
        </w:tc>
      </w:tr>
      <w:tr>
        <w:tc>
          <w:tcPr>
            <w:tcW w:type="dxa" w:w="9360"/>
          </w:tcPr>
          <w:p>
            <w:r>
              <w:rPr>
                <w:rFonts w:ascii="Arial" w:hAnsi="Arial"/>
                <w:sz w:val="18"/>
              </w:rPr>
              <w:t>-   Core team part-time or startup</w:t>
            </w:r>
          </w:p>
        </w:tc>
      </w:tr>
      <w:tr>
        <w:tc>
          <w:tcPr>
            <w:tcW w:type="dxa" w:w="9360"/>
          </w:tcPr>
          <w:p>
            <w:r>
              <w:rPr>
                <w:rFonts w:ascii="Arial" w:hAnsi="Arial"/>
                <w:sz w:val="18"/>
              </w:rPr>
              <w:t>low-salary + equity model</w:t>
            </w:r>
          </w:p>
        </w:tc>
      </w:tr>
      <w:tr>
        <w:tc>
          <w:tcPr>
            <w:tcW w:type="dxa" w:w="9360"/>
          </w:tcPr>
          <w:p>
            <w:r>
              <w:rPr>
                <w:rFonts w:ascii="Arial" w:hAnsi="Arial"/>
                <w:sz w:val="18"/>
              </w:rPr>
              <w:t>-   Using free/open-source toolchain,</w:t>
            </w:r>
          </w:p>
        </w:tc>
      </w:tr>
      <w:tr>
        <w:tc>
          <w:tcPr>
            <w:tcW w:type="dxa" w:w="9360"/>
          </w:tcPr>
          <w:p>
            <w:r>
              <w:rPr>
                <w:rFonts w:ascii="Arial" w:hAnsi="Arial"/>
                <w:sz w:val="18"/>
              </w:rPr>
              <w:t>zero software costs</w:t>
            </w:r>
          </w:p>
        </w:tc>
      </w:tr>
      <w:tr>
        <w:tc>
          <w:tcPr>
            <w:tcW w:type="dxa" w:w="9360"/>
          </w:tcPr>
          <w:p>
            <w:r>
              <w:rPr>
                <w:rFonts w:ascii="Arial" w:hAnsi="Arial"/>
                <w:sz w:val="18"/>
              </w:rPr>
              <w:t>-   Applying for research grants,</w:t>
            </w:r>
          </w:p>
        </w:tc>
      </w:tr>
      <w:tr>
        <w:tc>
          <w:tcPr>
            <w:tcW w:type="dxa" w:w="9360"/>
          </w:tcPr>
          <w:p>
            <w:r>
              <w:rPr>
                <w:rFonts w:ascii="Arial" w:hAnsi="Arial"/>
                <w:sz w:val="18"/>
              </w:rPr>
              <w:t>startup subsidies, open-source</w:t>
            </w:r>
          </w:p>
        </w:tc>
      </w:tr>
      <w:tr>
        <w:tc>
          <w:tcPr>
            <w:tcW w:type="dxa" w:w="9360"/>
          </w:tcPr>
          <w:p>
            <w:r>
              <w:rPr>
                <w:rFonts w:ascii="Arial" w:hAnsi="Arial"/>
                <w:sz w:val="18"/>
              </w:rPr>
              <w:t>project sponsorship</w:t>
            </w:r>
          </w:p>
        </w:tc>
      </w:tr>
      <w:tr>
        <w:tc>
          <w:tcPr>
            <w:tcW w:type="dxa" w:w="9360"/>
          </w:tcPr>
          <w:p>
            <w:r>
              <w:rPr>
                <w:rFonts w:ascii="Arial" w:hAnsi="Arial"/>
                <w:sz w:val="18"/>
              </w:rPr>
              <w:t>-   Community contributor participation,</w:t>
            </w:r>
          </w:p>
        </w:tc>
      </w:tr>
      <w:tr>
        <w:tc>
          <w:tcPr>
            <w:tcW w:type="dxa" w:w="9360"/>
          </w:tcPr>
          <w:p>
            <w:r>
              <w:rPr>
                <w:rFonts w:ascii="Arial" w:hAnsi="Arial"/>
                <w:sz w:val="18"/>
              </w:rPr>
              <w:t>reducing human resource needs</w:t>
            </w:r>
          </w:p>
        </w:tc>
      </w:tr>
      <w:tr>
        <w:tc>
          <w:tcPr>
            <w:tcW w:type="dxa" w:w="9360"/>
          </w:tcPr>
          <w:p>
            <w:r>
              <w:rPr>
                <w:rFonts w:ascii="Arial" w:hAnsi="Arial"/>
                <w:sz w:val="18"/>
              </w:rPr>
              <w:t>-   Minimum 500K-1 million CNY to start</w:t>
            </w:r>
          </w:p>
        </w:tc>
      </w:tr>
      <w:tr>
        <w:tc>
          <w:tcPr>
            <w:tcW w:type="dxa" w:w="9360"/>
          </w:tcPr>
          <w:p>
            <w:r>
              <w:rPr>
                <w:rFonts w:ascii="Arial" w:hAnsi="Arial"/>
                <w:sz w:val="18"/>
              </w:rPr>
              <w:t>prototype validation</w:t>
            </w:r>
          </w:p>
        </w:tc>
      </w:tr>
    </w:tbl>
    <w:p>
      <w:r>
        <w:rPr>
          <w:rFonts w:ascii="Arial" w:hAnsi="Arial"/>
          <w:sz w:val="22"/>
        </w:rPr>
        <w:t>+------------------------------------------+</w:t>
      </w:r>
    </w:p>
    <w:p>
      <w:r>
        <w:rPr>
          <w:rFonts w:ascii="Arial" w:hAnsi="Arial"/>
          <w:b/>
          <w:sz w:val="22"/>
        </w:rPr>
        <w:t>8.3.2 Phase Two Costs (1-3 Years)</w:t>
      </w:r>
    </w:p>
    <w:p>
      <w:r>
        <w:rPr>
          <w:rFonts w:ascii="Arial" w:hAnsi="Arial"/>
          <w:sz w:val="22"/>
        </w:rPr>
        <w:t xml:space="preserve">------------ --------------------------- ---------------------- Item         Annual Cost                Description Personnel    20-30 million CNY          20-25 personnel team costs Compute      1-1.5 million CNY          Inference cluster + training costs Operations   2-3 million CNY            Community, marketing, user costs                                    support Other costs  1-2 million CNY            Office, audit, legal, etc. </w:t>
      </w:r>
      <w:r>
        <w:rPr>
          <w:rFonts w:ascii="Arial" w:hAnsi="Arial"/>
          <w:b/>
          <w:sz w:val="22"/>
        </w:rPr>
        <w:t>Annual</w:t>
      </w:r>
      <w:r>
        <w:rPr>
          <w:rFonts w:ascii="Arial" w:hAnsi="Arial"/>
          <w:sz w:val="22"/>
        </w:rPr>
        <w:t xml:space="preserve">   </w:t>
      </w:r>
      <w:r>
        <w:rPr>
          <w:rFonts w:ascii="Arial" w:hAnsi="Arial"/>
          <w:b/>
          <w:sz w:val="22"/>
        </w:rPr>
        <w:t>24-36.5 million CNY</w:t>
      </w:r>
      <w:r>
        <w:rPr>
          <w:rFonts w:ascii="Arial" w:hAnsi="Arial"/>
          <w:sz w:val="22"/>
        </w:rPr>
        <w:t xml:space="preserve">    Phase Two annual investment </w:t>
      </w:r>
      <w:r>
        <w:rPr>
          <w:rFonts w:ascii="Arial" w:hAnsi="Arial"/>
          <w:b/>
          <w:sz w:val="22"/>
        </w:rPr>
        <w:t>Total</w:t>
      </w:r>
      <w:r>
        <w:rPr>
          <w:rFonts w:ascii="Arial" w:hAnsi="Arial"/>
          <w:sz w:val="22"/>
        </w:rPr>
        <w:t xml:space="preserve"> ------------ --------------------------- ----------------------</w:t>
      </w:r>
    </w:p>
    <w:p>
      <w:r>
        <w:rPr>
          <w:rFonts w:ascii="Arial" w:hAnsi="Arial"/>
          <w:b/>
          <w:sz w:val="22"/>
        </w:rPr>
        <w:t>8.3.3 Phase Three Costs (Years 3-8)</w:t>
      </w:r>
    </w:p>
    <w:p>
      <w:pPr>
        <w:pStyle w:val="ListBullet"/>
      </w:pPr>
      <w:r>
        <w:rPr>
          <w:rFonts w:ascii="Arial" w:hAnsi="Arial"/>
          <w:sz w:val="22"/>
        </w:rPr>
        <w:t>Annual Total Investment: 50-100 million CNY</w:t>
      </w:r>
    </w:p>
    <w:p>
      <w:pPr>
        <w:pStyle w:val="ListBullet"/>
      </w:pPr>
      <w:r>
        <w:rPr>
          <w:rFonts w:ascii="Arial" w:hAnsi="Arial"/>
          <w:sz w:val="22"/>
        </w:rPr>
        <w:t>Human Resources: 60-70%</w:t>
      </w:r>
    </w:p>
    <w:p>
      <w:pPr>
        <w:pStyle w:val="ListBullet"/>
      </w:pPr>
      <w:r>
        <w:rPr>
          <w:rFonts w:ascii="Arial" w:hAnsi="Arial"/>
          <w:sz w:val="22"/>
        </w:rPr>
        <w:t>Computing Power: 10-15%</w:t>
      </w:r>
    </w:p>
    <w:p>
      <w:pPr>
        <w:pStyle w:val="ListBullet"/>
      </w:pPr>
      <w:r>
        <w:rPr>
          <w:rFonts w:ascii="Arial" w:hAnsi="Arial"/>
          <w:sz w:val="22"/>
        </w:rPr>
        <w:t>Operations and Others: 15-25%</w:t>
      </w:r>
    </w:p>
    <w:p>
      <w:r>
        <w:rPr>
          <w:rFonts w:ascii="Arial" w:hAnsi="Arial"/>
          <w:b/>
          <w:sz w:val="22"/>
        </w:rPr>
        <w:t>8.4 Zero-Cost Solution Recommendations</w:t>
      </w:r>
    </w:p>
    <w:p>
      <w:r>
        <w:rPr>
          <w:rFonts w:ascii="Arial" w:hAnsi="Arial"/>
          <w:b/>
          <w:sz w:val="22"/>
        </w:rPr>
        <w:t>8.4.1 Software and Tools (All Free)</w:t>
      </w:r>
    </w:p>
    <w:p>
      <w:r>
        <w:rPr>
          <w:rFonts w:ascii="Arial" w:hAnsi="Arial"/>
          <w:sz w:val="22"/>
        </w:rPr>
        <w:t>------------ ---------------------- ----------------------- Category     Recommended Solution  Description Base Model   Qwen3 / Llama 3       Fully open-source, free for commercial use Training     PEFT / Transformers   HuggingFace open-source, free Framework Inference    vLLM                 Open-source and free, excellent performance Framework Vector       Milvus / Qdrant       Open-source and free, comprehensive features Database Graph        Neo4j Community       Free, sufficient for initial deployment Database     Edition Blockchain   Ethereum Testnet      Free, can migrate to mainnet later Monitoring   Prometheus +          Open-source and free System       Grafana Container    Kubernetes            Open-source and free Orchestration ------------ ---------------------- -----------------------</w:t>
      </w:r>
    </w:p>
    <w:p>
      <w:r>
        <w:rPr>
          <w:rFonts w:ascii="Arial" w:hAnsi="Arial"/>
          <w:b/>
          <w:sz w:val="22"/>
        </w:rPr>
        <w:t>8.4.2 Computing Power Acquisition (Free/Low-Cost)</w:t>
      </w:r>
    </w:p>
    <w:p>
      <w:pPr>
        <w:pStyle w:val="ListBullet"/>
      </w:pPr>
      <w:r>
        <w:rPr>
          <w:rFonts w:ascii="Arial" w:hAnsi="Arial"/>
          <w:b/>
          <w:sz w:val="22"/>
        </w:rPr>
        <w:t>Google Colab Pro</w:t>
      </w:r>
      <w:r>
        <w:rPr>
          <w:rFonts w:ascii="Arial" w:hAnsi="Arial"/>
          <w:sz w:val="22"/>
        </w:rPr>
        <w:t>: Approximately $10/month, access to T4/A100 GPUs</w:t>
      </w:r>
    </w:p>
    <w:p>
      <w:pPr>
        <w:pStyle w:val="ListBullet"/>
      </w:pPr>
      <w:r>
        <w:rPr>
          <w:rFonts w:ascii="Arial" w:hAnsi="Arial"/>
          <w:b/>
          <w:sz w:val="22"/>
        </w:rPr>
        <w:t>Kaggle Kernels</w:t>
      </w:r>
      <w:r>
        <w:rPr>
          <w:rFonts w:ascii="Arial" w:hAnsi="Arial"/>
          <w:sz w:val="22"/>
        </w:rPr>
        <w:t>: Free, 30 hours of GPU time per week</w:t>
      </w:r>
    </w:p>
    <w:p>
      <w:pPr>
        <w:pStyle w:val="ListBullet"/>
      </w:pPr>
      <w:r>
        <w:rPr>
          <w:rFonts w:ascii="Arial" w:hAnsi="Arial"/>
          <w:b/>
          <w:sz w:val="22"/>
        </w:rPr>
        <w:t>Alibaba Cloud/Tencent Cloud Free Tiers</w:t>
      </w:r>
      <w:r>
        <w:rPr>
          <w:rFonts w:ascii="Arial" w:hAnsi="Arial"/>
          <w:sz w:val="22"/>
        </w:rPr>
        <w:t>: Free trial for new users</w:t>
      </w:r>
    </w:p>
    <w:p>
      <w:pPr>
        <w:pStyle w:val="ListBullet"/>
      </w:pPr>
      <w:r>
        <w:rPr>
          <w:rFonts w:ascii="Arial" w:hAnsi="Arial"/>
          <w:b/>
          <w:sz w:val="22"/>
        </w:rPr>
        <w:t>Research Institution Computing</w:t>
      </w:r>
      <w:r>
        <w:rPr>
          <w:rFonts w:ascii="Arial" w:hAnsi="Arial"/>
          <w:sz w:val="22"/>
        </w:rPr>
        <w:t>: Apply for access to university or research institution GPU clusters</w:t>
      </w:r>
    </w:p>
    <w:p>
      <w:pPr>
        <w:pStyle w:val="ListBullet"/>
      </w:pPr>
      <w:r>
        <w:rPr>
          <w:rFonts w:ascii="Arial" w:hAnsi="Arial"/>
          <w:b/>
          <w:sz w:val="22"/>
        </w:rPr>
        <w:t>Open-Source Project Sponsorship</w:t>
      </w:r>
      <w:r>
        <w:rPr>
          <w:rFonts w:ascii="Arial" w:hAnsi="Arial"/>
          <w:sz w:val="22"/>
        </w:rPr>
        <w:t>: Apply to cloud providers for open-source project sponsorship</w:t>
      </w:r>
    </w:p>
    <w:p>
      <w:pPr>
        <w:pStyle w:val="ListBullet"/>
      </w:pPr>
      <w:r>
        <w:rPr>
          <w:rFonts w:ascii="Arial" w:hAnsi="Arial"/>
          <w:b/>
          <w:sz w:val="22"/>
        </w:rPr>
        <w:t>Community Donations</w:t>
      </w:r>
      <w:r>
        <w:rPr>
          <w:rFonts w:ascii="Arial" w:hAnsi="Arial"/>
          <w:sz w:val="22"/>
        </w:rPr>
        <w:t>: Crowd-source computing resources through DAO or community fundraising</w:t>
      </w:r>
    </w:p>
    <w:p>
      <w:r>
        <w:rPr>
          <w:rFonts w:ascii="Arial" w:hAnsi="Arial"/>
          <w:b/>
          <w:sz w:val="22"/>
        </w:rPr>
        <w:t>8.4.3 Human Resources Acquisition (Community-Driven)</w:t>
      </w:r>
    </w:p>
    <w:p>
      <w:pPr>
        <w:pStyle w:val="ListBullet"/>
      </w:pPr>
      <w:r>
        <w:rPr>
          <w:rFonts w:ascii="Arial" w:hAnsi="Arial"/>
          <w:b/>
          <w:sz w:val="22"/>
        </w:rPr>
        <w:t>Open-Source Community Contributions</w:t>
      </w:r>
      <w:r>
        <w:rPr>
          <w:rFonts w:ascii="Arial" w:hAnsi="Arial"/>
          <w:sz w:val="22"/>
        </w:rPr>
        <w:t>: Attract global developers to contribute code</w:t>
      </w:r>
    </w:p>
    <w:p>
      <w:pPr>
        <w:pStyle w:val="ListBullet"/>
      </w:pPr>
      <w:r>
        <w:rPr>
          <w:rFonts w:ascii="Arial" w:hAnsi="Arial"/>
          <w:b/>
          <w:sz w:val="22"/>
        </w:rPr>
        <w:t>Academic Collaboration</w:t>
      </w:r>
      <w:r>
        <w:rPr>
          <w:rFonts w:ascii="Arial" w:hAnsi="Arial"/>
          <w:sz w:val="22"/>
        </w:rPr>
        <w:t>: Partner with universities and research institutions, involve students</w:t>
      </w:r>
    </w:p>
    <w:p>
      <w:pPr>
        <w:pStyle w:val="ListBullet"/>
      </w:pPr>
      <w:r>
        <w:rPr>
          <w:rFonts w:ascii="Arial" w:hAnsi="Arial"/>
          <w:b/>
          <w:sz w:val="22"/>
        </w:rPr>
        <w:t>Volunteer Teams</w:t>
      </w:r>
      <w:r>
        <w:rPr>
          <w:rFonts w:ascii="Arial" w:hAnsi="Arial"/>
          <w:sz w:val="22"/>
        </w:rPr>
        <w:t>: Engage volunteers who share the vision to participate in non-core tasks</w:t>
      </w:r>
    </w:p>
    <w:p>
      <w:pPr>
        <w:pStyle w:val="ListBullet"/>
      </w:pPr>
      <w:r>
        <w:rPr>
          <w:rFonts w:ascii="Arial" w:hAnsi="Arial"/>
          <w:b/>
          <w:sz w:val="22"/>
        </w:rPr>
        <w:t>Bounty Tasks</w:t>
      </w:r>
      <w:r>
        <w:rPr>
          <w:rFonts w:ascii="Arial" w:hAnsi="Arial"/>
          <w:sz w:val="22"/>
        </w:rPr>
        <w:t>: Set bounties for critical tasks toOrientation solve specific problems</w:t>
      </w:r>
    </w:p>
    <w:p>
      <w:pPr>
        <w:pStyle w:val="ListBullet"/>
      </w:pPr>
      <w:r>
        <w:rPr>
          <w:rFonts w:ascii="Arial" w:hAnsi="Arial"/>
          <w:b/>
          <w:sz w:val="22"/>
        </w:rPr>
        <w:t>Part-time/Consultants</w:t>
      </w:r>
      <w:r>
        <w:rPr>
          <w:rFonts w:ascii="Arial" w:hAnsi="Arial"/>
          <w:sz w:val="22"/>
        </w:rPr>
        <w:t>: Hire part-time experts for key positions</w:t>
      </w:r>
    </w:p>
    <w:p>
      <w:r>
        <w:rPr>
          <w:rFonts w:ascii="Arial" w:hAnsi="Arial"/>
          <w:b/>
          <w:sz w:val="22"/>
        </w:rPr>
        <w:t>8.5 Return on Investment Analysis</w:t>
      </w:r>
    </w:p>
    <w:p>
      <w:r>
        <w:rPr>
          <w:rFonts w:ascii="Arial" w:hAnsi="Arial"/>
          <w:b/>
          <w:sz w:val="22"/>
        </w:rPr>
        <w:t>8.5.1 Direct Economic Benefits</w:t>
      </w:r>
    </w:p>
    <w:p>
      <w:pPr>
        <w:pStyle w:val="ListBullet"/>
      </w:pPr>
      <w:r>
        <w:rPr>
          <w:rFonts w:ascii="Arial" w:hAnsi="Arial"/>
          <w:sz w:val="22"/>
        </w:rPr>
        <w:t>Administrative Efficiency Gains: Reduce administrative approval manpower by over 80%</w:t>
      </w:r>
    </w:p>
    <w:p>
      <w:pPr>
        <w:pStyle w:val="ListBullet"/>
      </w:pPr>
      <w:r>
        <w:rPr>
          <w:rFonts w:ascii="Arial" w:hAnsi="Arial"/>
          <w:sz w:val="22"/>
        </w:rPr>
        <w:t>Judicial Efficiency Gains: Dispute resolution time shortened by 80%, costs reduced by 80%</w:t>
      </w:r>
    </w:p>
    <w:p>
      <w:pPr>
        <w:pStyle w:val="ListBullet"/>
      </w:pPr>
      <w:r>
        <w:rPr>
          <w:rFonts w:ascii="Arial" w:hAnsi="Arial"/>
          <w:sz w:val="22"/>
        </w:rPr>
        <w:t>Elimination of Corruption Costs: Eliminate corruption opportunities at the institutional level</w:t>
      </w:r>
    </w:p>
    <w:p>
      <w:pPr>
        <w:pStyle w:val="ListBullet"/>
      </w:pPr>
      <w:r>
        <w:rPr>
          <w:rFonts w:ascii="Arial" w:hAnsi="Arial"/>
          <w:sz w:val="22"/>
        </w:rPr>
        <w:t>Improved Fiscal Transparency: Reduce fiscal waste and inefficient expenditure</w:t>
      </w:r>
    </w:p>
    <w:p>
      <w:r>
        <w:rPr>
          <w:rFonts w:ascii="Arial" w:hAnsi="Arial"/>
          <w:b/>
          <w:sz w:val="22"/>
        </w:rPr>
        <w:t>8.5.2 Indirect Social Benefits</w:t>
      </w:r>
    </w:p>
    <w:p>
      <w:pPr>
        <w:pStyle w:val="ListBullet"/>
      </w:pPr>
      <w:r>
        <w:rPr>
          <w:rFonts w:ascii="Arial" w:hAnsi="Arial"/>
          <w:sz w:val="22"/>
        </w:rPr>
        <w:t>Increased Resident Satisfaction: More fair, efficient, and transparent governance</w:t>
      </w:r>
    </w:p>
    <w:p>
      <w:pPr>
        <w:pStyle w:val="ListBullet"/>
      </w:pPr>
      <w:r>
        <w:rPr>
          <w:rFonts w:ascii="Arial" w:hAnsi="Arial"/>
          <w:sz w:val="22"/>
        </w:rPr>
        <w:t>Improved Business Environment: Attract enterprises and talent</w:t>
      </w:r>
    </w:p>
    <w:p>
      <w:pPr>
        <w:pStyle w:val="ListBullet"/>
      </w:pPr>
      <w:r>
        <w:rPr>
          <w:rFonts w:ascii="Arial" w:hAnsi="Arial"/>
          <w:sz w:val="22"/>
        </w:rPr>
        <w:t>Unleashing Innovation Vitality: Reduce institutional transaction costs</w:t>
      </w:r>
    </w:p>
    <w:p>
      <w:pPr>
        <w:pStyle w:val="ListBullet"/>
      </w:pPr>
      <w:r>
        <w:rPr>
          <w:rFonts w:ascii="Arial" w:hAnsi="Arial"/>
          <w:sz w:val="22"/>
        </w:rPr>
        <w:t>Demonstration Effect: Encourage more cities and regions to adopt</w:t>
      </w:r>
    </w:p>
    <w:p>
      <w:r>
        <w:rPr>
          <w:rFonts w:ascii="Arial" w:hAnsi="Arial"/>
          <w:b/>
          <w:sz w:val="22"/>
        </w:rPr>
        <w:t>8.5.3 Long-Term Strategic Value</w:t>
      </w:r>
    </w:p>
    <w:p>
      <w:pPr>
        <w:pStyle w:val="ListBullet"/>
      </w:pPr>
      <w:r>
        <w:rPr>
          <w:rFonts w:ascii="Arial" w:hAnsi="Arial"/>
          <w:sz w:val="22"/>
        </w:rPr>
        <w:t>Define next-generation governance standards, occupy the institutional high ground</w:t>
      </w:r>
    </w:p>
    <w:p>
      <w:pPr>
        <w:pStyle w:val="ListBullet"/>
      </w:pPr>
      <w:r>
        <w:rPr>
          <w:rFonts w:ascii="Arial" w:hAnsi="Arial"/>
          <w:sz w:val="22"/>
        </w:rPr>
        <w:t>Create network effects—the more alliance cities, the greater the value</w:t>
      </w:r>
    </w:p>
    <w:p>
      <w:pPr>
        <w:pStyle w:val="ListBullet"/>
      </w:pPr>
      <w:r>
        <w:rPr>
          <w:rFonts w:ascii="Arial" w:hAnsi="Arial"/>
          <w:sz w:val="22"/>
        </w:rPr>
        <w:t>Drive historic advancement in human civilization's governance models</w:t>
      </w:r>
    </w:p>
    <w:p>
      <w:pPr>
        <w:pStyle w:val="ListBullet"/>
      </w:pPr>
      <w:r>
        <w:rPr>
          <w:rFonts w:ascii="Arial" w:hAnsi="Arial"/>
          <w:sz w:val="22"/>
        </w:rPr>
        <w:t>Establish global leadership in AI governance</w:t>
      </w:r>
    </w:p>
    <w:p>
      <w:r>
        <w:rPr>
          <w:rFonts w:ascii="Arial" w:hAnsi="Arial"/>
          <w:sz w:val="22"/>
        </w:rPr>
        <w:t>+--------------------------------------------+</w:t>
      </w:r>
    </w:p>
    <w:tbl>
      <w:tblPr>
        <w:tblStyle w:val="LightShading-Accent1"/>
        <w:tblW w:type="auto" w:w="0"/>
        <w:tblLook w:firstColumn="1" w:firstRow="1" w:lastColumn="0" w:lastRow="0" w:noHBand="0" w:noVBand="1" w:val="04A0"/>
      </w:tblPr>
      <w:tblGrid>
        <w:gridCol w:w="9360"/>
      </w:tblGrid>
      <w:tr>
        <w:tc>
          <w:tcPr>
            <w:tcW w:type="dxa" w:w="9360"/>
          </w:tcPr>
          <w:p>
            <w:r>
              <w:rPr>
                <w:rFonts w:ascii="Arial" w:hAnsi="Arial"/>
                <w:b/>
                <w:sz w:val="18"/>
              </w:rPr>
              <w:t>Document Information</w:t>
            </w:r>
          </w:p>
        </w:tc>
      </w:tr>
      <w:tr>
        <w:tc>
          <w:tcPr>
            <w:tcW w:type="dxa" w:w="9360"/>
          </w:tcPr>
          <w:p>
            <w:r>
              <w:rPr>
                <w:rFonts w:ascii="Arial" w:hAnsi="Arial"/>
                <w:sz w:val="18"/>
              </w:rPr>
              <w:t>Version: v1.0</w:t>
            </w:r>
          </w:p>
        </w:tc>
      </w:tr>
      <w:tr>
        <w:tc>
          <w:tcPr>
            <w:tcW w:type="dxa" w:w="9360"/>
          </w:tcPr>
          <w:p>
            <w:r>
              <w:rPr>
                <w:rFonts w:ascii="Arial" w:hAnsi="Arial"/>
                <w:sz w:val="18"/>
              </w:rPr>
              <w:t>Date: June 2026</w:t>
            </w:r>
          </w:p>
        </w:tc>
      </w:tr>
      <w:tr>
        <w:tc>
          <w:tcPr>
            <w:tcW w:type="dxa" w:w="9360"/>
          </w:tcPr>
          <w:p>
            <w:r>
              <w:rPr>
                <w:rFonts w:ascii="Arial" w:hAnsi="Arial"/>
                <w:sz w:val="18"/>
              </w:rPr>
              <w:t>Status: Technical Draft, Pending Community</w:t>
            </w:r>
          </w:p>
        </w:tc>
      </w:tr>
      <w:tr>
        <w:tc>
          <w:tcPr>
            <w:tcW w:type="dxa" w:w="9360"/>
          </w:tcPr>
          <w:p>
            <w:r>
              <w:rPr>
                <w:rFonts w:ascii="Arial" w:hAnsi="Arial"/>
                <w:sz w:val="18"/>
              </w:rPr>
              <w:t>Review</w:t>
            </w:r>
          </w:p>
        </w:tc>
      </w:tr>
      <w:tr>
        <w:tc>
          <w:tcPr>
            <w:tcW w:type="dxa" w:w="9360"/>
          </w:tcPr>
          <w:p>
            <w:r>
              <w:rPr>
                <w:rFonts w:ascii="Arial" w:hAnsi="Arial"/>
                <w:sz w:val="18"/>
              </w:rPr>
              <w:t>Next Steps: Iterative updates based on</w:t>
            </w:r>
          </w:p>
        </w:tc>
      </w:tr>
      <w:tr>
        <w:tc>
          <w:tcPr>
            <w:tcW w:type="dxa" w:w="9360"/>
          </w:tcPr>
          <w:p>
            <w:r>
              <w:rPr>
                <w:rFonts w:ascii="Arial" w:hAnsi="Arial"/>
                <w:sz w:val="18"/>
              </w:rPr>
              <w:t>community feedback and technological</w:t>
            </w:r>
          </w:p>
        </w:tc>
      </w:tr>
      <w:tr>
        <w:tc>
          <w:tcPr>
            <w:tcW w:type="dxa" w:w="9360"/>
          </w:tcPr>
          <w:p>
            <w:r>
              <w:rPr>
                <w:rFonts w:ascii="Arial" w:hAnsi="Arial"/>
                <w:sz w:val="18"/>
              </w:rPr>
              <w:t>developments</w:t>
            </w:r>
          </w:p>
        </w:tc>
      </w:tr>
    </w:tbl>
    <w:p>
      <w:r>
        <w:rPr>
          <w:rFonts w:ascii="Arial" w:hAnsi="Arial"/>
          <w:sz w:val="22"/>
        </w:rPr>
        <w:t>+--------------------------------------------+</w:t>
      </w:r>
    </w:p>
    <w:sectPr w:rsidR="00FC693F" w:rsidRPr="0006063C" w:rsidSect="00034616">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999999"/>
        <w:sz w:val="18"/>
      </w:rPr>
      <w:t xml:space="preserve">Page </w:t>
    </w:r>
    <w:r>
      <w:fldChar w:fldCharType="begin"/>
    </w:r>
    <w:r>
      <w:instrText xml:space="preserve"> PAGE </w:instrText>
    </w:r>
    <w:r>
      <w:fldChar w:fldCharType="end"/>
    </w:r>
    <w:r>
      <w:rPr>
        <w:rFonts w:ascii="Arial" w:hAnsi="Arial"/>
        <w:color w:val="999999"/>
        <w:sz w:val="18"/>
      </w:rPr>
      <w:t xml:space="preserve"> of </w:t>
    </w:r>
    <w:r>
      <w:fldChar w:fldCharType="begin"/>
    </w:r>
    <w:r>
      <w:instrText xml:space="preserve"> NUMPAGES </w:instrText>
    </w:r>
    <w: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t>DAOTONG AI Governance · Tech Spec v1.0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olor w:val="33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Arial" w:hAnsi="Arial"/>
      <w:color w:val="999999"/>
      <w:sz w:val="18"/>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A3C6E"/>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1A3C6E"/>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1A3C6E"/>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