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ascii="Arial" w:hAnsi="Arial" w:cs="Arial"/>
          <w:b/>
        </w:rPr>
        <w:t xml:space="preserve">DAOTONG</w:t>
      </w:r>
    </w:p>
    <w:p>
      <w:pPr>
        <w:pStyle w:val="BodyText"/>
      </w:pPr>
      <w:r>
        <w:rPr>
          <w:rFonts w:ascii="Arial" w:hAnsi="Arial" w:cs="Arial"/>
          <w:b/>
        </w:rPr>
        <w:t xml:space="preserve">AI Judicial System</w:t>
      </w:r>
    </w:p>
    <w:p>
      <w:pPr>
        <w:pStyle w:val="BodyText"/>
      </w:pPr>
      <w:r>
        <w:rPr>
          <w:rFonts w:ascii="Arial" w:hAnsi="Arial" w:cs="Arial"/>
        </w:rPr>
        <w:t xml:space="preserve">Complete Design Specification</w:t>
      </w:r>
    </w:p>
    <w:p>
      <w:pPr>
        <w:pStyle w:val="BodyText"/>
      </w:pPr>
      <w:r>
        <w:rPr>
          <w:rFonts w:ascii="Arial" w:hAnsi="Arial" w:cs="Arial"/>
        </w:rPr>
        <w:t xml:space="preserve">v1.0 · Public Consultation Draft</w:t>
      </w:r>
    </w:p>
    <w:p>
      <w:pPr>
        <w:pStyle w:val="BodyText"/>
      </w:pPr>
      <w:r>
        <w:rPr>
          <w:rFonts w:ascii="Arial" w:hAnsi="Arial" w:cs="Arial"/>
        </w:rPr>
        <w:t xml:space="preserve">June 2026</w:t>
      </w:r>
    </w:p>
    <w:p>
      <w:pPr>
        <w:pStyle w:val="BodyText"/>
      </w:pPr>
      <w:r>
        <w:rPr>
          <w:rFonts w:ascii="Arial" w:hAnsi="Arial" w:cs="Arial"/>
        </w:rPr>
        <w:t xml:space="preserve">DAOTONG Project Team</w:t>
      </w:r>
    </w:p>
    <w:p>
      <w:pPr>
        <w:pStyle w:val="BodyText"/>
      </w:pPr>
      <w:r>
        <w:rPr>
          <w:rFonts w:ascii="Arial" w:hAnsi="Arial" w:cs="Arial"/>
          <w:i/>
        </w:rPr>
        <w:t xml:space="preserve">This document is a public consultation draft. Comments and suggestions from all sectors are welcome.</w:t>
      </w:r>
    </w:p>
    <w:p>
      <w:pPr>
        <w:pStyle w:val="BodyText"/>
      </w:pPr>
      <w:r>
        <w:rPr>
          <w:rFonts w:ascii="Arial" w:hAnsi="Arial" w:cs="Arial"/>
          <w:b/>
        </w:rPr>
        <w:t xml:space="preserve">Contents</w:t>
      </w:r>
    </w:p>
    <w:p>
      <w:pPr>
        <w:numPr>
          <w:ilvl w:val="0"/>
          <w:numId w:val="1001"/>
        </w:numPr>
      </w:pPr>
      <w:r>
        <w:rPr>
          <w:rFonts w:ascii="Arial" w:hAnsi="Arial" w:cs="Arial"/>
        </w:rPr>
        <w:t xml:space="preserve">Architecture Overview</w:t>
      </w:r>
    </w:p>
    <w:p>
      <w:pPr>
        <w:numPr>
          <w:ilvl w:val="0"/>
          <w:numId w:val="1001"/>
        </w:numPr>
      </w:pPr>
      <w:r>
        <w:rPr>
          <w:rFonts w:ascii="Arial" w:hAnsi="Arial" w:cs="Arial"/>
        </w:rPr>
        <w:t xml:space="preserve">Case Types and AI Intervention Depth</w:t>
      </w:r>
    </w:p>
    <w:p>
      <w:pPr>
        <w:numPr>
          <w:ilvl w:val="0"/>
          <w:numId w:val="1001"/>
        </w:numPr>
      </w:pPr>
      <w:r>
        <w:rPr>
          <w:rFonts w:ascii="Arial" w:hAnsi="Arial" w:cs="Arial"/>
        </w:rPr>
        <w:t xml:space="preserve">Complete Case Lifecycle</w:t>
      </w:r>
    </w:p>
    <w:p>
      <w:pPr>
        <w:numPr>
          <w:ilvl w:val="0"/>
          <w:numId w:val="1001"/>
        </w:numPr>
      </w:pPr>
      <w:r>
        <w:rPr>
          <w:rFonts w:ascii="Arial" w:hAnsi="Arial" w:cs="Arial"/>
        </w:rPr>
        <w:t xml:space="preserve">Evidence Collection Engine</w:t>
      </w:r>
    </w:p>
    <w:p>
      <w:pPr>
        <w:numPr>
          <w:ilvl w:val="0"/>
          <w:numId w:val="1001"/>
        </w:numPr>
      </w:pPr>
      <w:r>
        <w:rPr>
          <w:rFonts w:ascii="Arial" w:hAnsi="Arial" w:cs="Arial"/>
        </w:rPr>
        <w:t xml:space="preserve">Verdict Reasoning Engine</w:t>
      </w:r>
    </w:p>
    <w:p>
      <w:pPr>
        <w:numPr>
          <w:ilvl w:val="0"/>
          <w:numId w:val="1001"/>
        </w:numPr>
      </w:pPr>
      <w:r>
        <w:rPr>
          <w:rFonts w:ascii="Arial" w:hAnsi="Arial" w:cs="Arial"/>
        </w:rPr>
        <w:t xml:space="preserve">Random Jury System</w:t>
      </w:r>
    </w:p>
    <w:p>
      <w:pPr>
        <w:numPr>
          <w:ilvl w:val="0"/>
          <w:numId w:val="1001"/>
        </w:numPr>
      </w:pPr>
      <w:r>
        <w:rPr>
          <w:rFonts w:ascii="Arial" w:hAnsi="Arial" w:cs="Arial"/>
        </w:rPr>
        <w:t xml:space="preserve">Appeal and Review Mechanism</w:t>
      </w:r>
    </w:p>
    <w:p>
      <w:pPr>
        <w:numPr>
          <w:ilvl w:val="0"/>
          <w:numId w:val="1001"/>
        </w:numPr>
      </w:pPr>
      <w:r>
        <w:rPr>
          <w:rFonts w:ascii="Arial" w:hAnsi="Arial" w:cs="Arial"/>
        </w:rPr>
        <w:t xml:space="preserve">Six Inviolable System Guardrails</w:t>
      </w:r>
    </w:p>
    <w:p>
      <w:pPr>
        <w:numPr>
          <w:ilvl w:val="0"/>
          <w:numId w:val="1001"/>
        </w:numPr>
      </w:pPr>
      <w:r>
        <w:rPr>
          <w:rFonts w:ascii="Arial" w:hAnsi="Arial" w:cs="Arial"/>
        </w:rPr>
        <w:t xml:space="preserve">System Interface and Integration Specifications</w:t>
      </w:r>
    </w:p>
    <w:p>
      <w:pPr>
        <w:numPr>
          <w:ilvl w:val="0"/>
          <w:numId w:val="1001"/>
        </w:numPr>
      </w:pPr>
      <w:r>
        <w:rPr>
          <w:rFonts w:ascii="Arial" w:hAnsi="Arial" w:cs="Arial"/>
        </w:rPr>
        <w:t xml:space="preserve">Appendices</w:t>
      </w:r>
    </w:p>
    <w:p>
      <w:pPr>
        <w:pStyle w:val="FirstParagraph"/>
      </w:pPr>
      <w:r>
        <w:rPr>
          <w:rFonts w:ascii="Arial" w:hAnsi="Arial" w:cs="Arial"/>
          <w:b/>
        </w:rPr>
        <w:t xml:space="preserve">1. Architecture Overview</w:t>
      </w:r>
    </w:p>
    <w:p>
      <w:pPr>
        <w:pStyle w:val="BodyText"/>
      </w:pPr>
      <w:r>
        <w:rPr>
          <w:rFonts w:ascii="Arial" w:hAnsi="Arial" w:cs="Arial"/>
        </w:rPr>
        <w:t>The DAOTONG AI Judicial System (hereinafter referred to as the “Judicial System”) is the core subsystem responsible for dispute resolution and legal enforcement within the DAOTONG governance architecture. This system is not an “AI judge” in the traditional sense—it does not attempt to completely replace human judicial judgment with AI. Instead, it provides differentiated AI intervention depth based on case types and severity levels, while strictly maintaining the baseline of human final decision-making authority to ensure judicial efficiency and fairness.</w:t>
      </w:r>
    </w:p>
    <w:p>
      <w:pPr>
        <w:pStyle w:val="BodyText"/>
      </w:pPr>
      <w:r>
        <w:rPr>
          <w:rFonts w:ascii="Arial" w:hAnsi="Arial" w:cs="Arial"/>
        </w:rPr>
        <w:t xml:space="preserve">The design of the Judicial System adheres to three core principles: First, progressive intervention—the depth of AI intervention is proportional to the severity and complexity of the case; the more significant the case, the more central the role of human decision-makers. Second, full auditability—every step from evidence collection to verdict execution has complete records and traceability chains. Third, multi-level error correction—through four mechanisms (appeal, review, systematic audit, and batch correction), systemic errors are minimized to the greatest extent possible.</w:t>
      </w:r>
    </w:p>
    <w:p>
      <w:pPr>
        <w:pStyle w:val="BodyText"/>
      </w:pPr>
      <w:r>
        <w:rPr>
          <w:rFonts w:ascii="Arial" w:hAnsi="Arial" w:cs="Arial"/>
        </w:rPr>
        <w:t xml:space="preserve">The system consists of five major components: case type and AI intervention depth classifier, complete case lifecycle management, three core subsystems (Evidence Collection Engine, Verdict Reasoning Engine, Random Jury System), appeal and review mechanism, and six inviolable system guardrails. All components work closely together through standardized data interfaces and audit protocols, forming a complete judicial closed loop from case filing to execution.</w:t>
      </w:r>
    </w:p>
    <w:p>
      <w:pPr>
        <w:pStyle w:val="BodyText"/>
      </w:pPr>
      <w:r>
        <w:rPr>
          <w:rFonts w:ascii="Arial" w:hAnsi="Arial" w:cs="Arial"/>
          <w:b/>
        </w:rPr>
        <w:t xml:space="preserve">1.1 System Architecture Diagram</w:t>
      </w:r>
    </w:p>
    <w:p>
      <w:pPr>
        <w:pStyle w:val="BodyText"/>
      </w:pPr>
      <w:r>
        <w:rPr>
          <w:rFonts w:ascii="Arial" w:hAnsi="Arial" w:cs="Arial"/>
        </w:rPr>
        <w:t xml:space="preserve">The following diagram illustrates the overall architecture of the Judicial System, including its five major components and their interrelationships:</w:t>
      </w:r>
    </w:p>
    <w:p>
      <w:pPr>
        <w:pStyle w:val="BodyText"/>
        <w:jc w:val="center"/>
      </w:pPr>
      <w:r>
        <w:rPr>
          <w:rFonts w:ascii="Arial" w:hAnsi="Arial" w:cs="Arial"/>
        </w:rPr>
        <w:drawing>
          <wp:inline>
            <wp:extent cx="5715000" cy="7051114"/>
            <wp:effectExtent b="0" l="0" r="0" t="0"/>
            <wp:docPr descr="" title="" id="1" name="Picture"/>
            <a:graphic>
              <a:graphicData uri="http://schemas.openxmlformats.org/drawingml/2006/picture">
                <pic:pic>
                  <pic:nvPicPr>
                    <pic:cNvPr descr="media/arch_diagram.png" id="0" name="Picture"/>
                    <pic:cNvPicPr>
                      <a:picLocks noChangeArrowheads="1" noChangeAspect="1"/>
                    </pic:cNvPicPr>
                  </pic:nvPicPr>
                  <pic:blipFill>
                    <a:blip r:embed="rId20"/>
                    <a:stretch>
                      <a:fillRect/>
                    </a:stretch>
                  </pic:blipFill>
                  <pic:spPr bwMode="auto">
                    <a:xfrm>
                      <a:off x="0" y="0"/>
                      <a:ext cx="5575300" cy="7051114"/>
                    </a:xfrm>
                    <a:prstGeom prst="rect">
                      <a:avLst/>
                    </a:prstGeom>
                    <a:noFill/>
                    <a:ln w="9525">
                      <a:noFill/>
                      <a:headEnd/>
                      <a:tailEnd/>
                    </a:ln>
                  </pic:spPr>
                </pic:pic>
              </a:graphicData>
            </a:graphic>
          </wp:inline>
        </w:drawing>
      </w:r>
    </w:p>
    <w:p>
      <w:pPr>
        <w:pStyle w:val="BodyText"/>
      </w:pPr>
      <w:r>
        <w:rPr>
          <w:rFonts w:ascii="Arial" w:hAnsi="Arial" w:cs="Arial"/>
          <w:i/>
        </w:rPr>
        <w:t xml:space="preserve">Figure 1: DAOTONG AI Judicial System Architecture Overview</w:t>
      </w:r>
    </w:p>
    <w:p>
      <w:pPr>
        <w:pStyle w:val="BodyText"/>
      </w:pPr>
      <w:r>
        <w:rPr>
          <w:rFonts w:ascii="Arial" w:hAnsi="Arial" w:cs="Arial"/>
          <w:b/>
        </w:rPr>
        <w:t xml:space="preserve">1.2 Design Philosophy</w:t>
      </w:r>
    </w:p>
    <w:p>
      <w:pPr>
        <w:pStyle w:val="BodyText"/>
      </w:pPr>
      <w:r>
        <w:rPr>
          <w:rFonts w:ascii="Arial" w:hAnsi="Arial" w:cs="Arial"/>
        </w:rPr>
        <w:t>The design philosophy of the Judicial System is rooted in a prudent reflection on the concept of “AI justice.” There exists a fundamental tension in the application of AI in the judicial domain: On one hand, AI can provide support beyond human capabilities in evidence analysis, case precedent retrieval, and consistency verification. On the other hand, judicial verdicts involve not only fact-finding and legal application but also value judgment, consideration of social impact, and humans’ intuitive perception of fairness—areas where AI has not yet reached trustworthy levels. Therefore, DAOTONG’s approach is neither “full automation” nor “pure assistance,” but rather dynamic adjustment of the division of labor between AI and humans based on case attributes.</w:t>
      </w:r>
    </w:p>
    <w:p>
      <w:pPr>
        <w:numPr>
          <w:ilvl w:val="0"/>
          <w:numId w:val="1002"/>
        </w:numPr>
      </w:pPr>
      <w:r>
        <w:rPr>
          <w:rFonts w:ascii="Arial" w:hAnsi="Arial" w:cs="Arial"/>
          <w:b/>
        </w:rPr>
        <w:t xml:space="preserve">Efficiency Principle:</w:t>
      </w:r>
      <w:r>
        <w:rPr>
          <w:rFonts w:ascii="Arial" w:hAnsi="Arial" w:cs="Arial"/>
        </w:rPr>
        <w:t xml:space="preserve"> Simple cases are handled quickly to avoid wasting judicial resources on minor disputes, allowing human judges to focus on cases that genuinely require value judgment.</w:t>
      </w:r>
    </w:p>
    <w:p>
      <w:pPr>
        <w:numPr>
          <w:ilvl w:val="0"/>
          <w:numId w:val="1002"/>
        </w:numPr>
      </w:pPr>
      <w:r>
        <w:rPr>
          <w:rFonts w:ascii="Arial" w:hAnsi="Arial" w:cs="Arial"/>
          <w:b/>
        </w:rPr>
        <w:t xml:space="preserve">Safety Principle:</w:t>
      </w:r>
      <w:r>
        <w:rPr>
          <w:rFonts w:ascii="Arial" w:hAnsi="Arial" w:cs="Arial"/>
        </w:rPr>
        <w:t xml:space="preserve"> AI can never directly issue a final verdict on any case—this is the system’s absolute red line. Even for the simplest cases, human confirmation is required.</w:t>
      </w:r>
    </w:p>
    <w:p>
      <w:pPr>
        <w:numPr>
          <w:ilvl w:val="0"/>
          <w:numId w:val="1002"/>
        </w:numPr>
      </w:pPr>
      <w:r>
        <w:rPr>
          <w:rFonts w:ascii="Arial" w:hAnsi="Arial" w:cs="Arial"/>
          <w:b/>
        </w:rPr>
        <w:t xml:space="preserve">Fairness Principle:</w:t>
      </w:r>
      <w:r>
        <w:rPr>
          <w:rFonts w:ascii="Arial" w:hAnsi="Arial" w:cs="Arial"/>
        </w:rPr>
        <w:t xml:space="preserve"> The system performs cross-group fairness checks at all stages, ensuring that AI intervention does not introduce systemic bias.</w:t>
      </w:r>
    </w:p>
    <w:p>
      <w:pPr>
        <w:numPr>
          <w:ilvl w:val="0"/>
          <w:numId w:val="1002"/>
        </w:numPr>
      </w:pPr>
      <w:r>
        <w:rPr>
          <w:rFonts w:ascii="Arial" w:hAnsi="Arial" w:cs="Arial"/>
          <w:b/>
        </w:rPr>
        <w:t xml:space="preserve">Transparency Principle:</w:t>
      </w:r>
      <w:r>
        <w:rPr>
          <w:rFonts w:ascii="Arial" w:hAnsi="Arial" w:cs="Arial"/>
        </w:rPr>
        <w:t xml:space="preserve"> All AI reasoning chains are mandatorily disclosed, and black-box decision-making is absolutely prohibited. Parties have the right to understand the role AI plays and the judgments it makes in their cases.</w:t>
      </w:r>
    </w:p>
    <w:p>
      <w:pPr>
        <w:pStyle w:val="FirstParagraph"/>
      </w:pPr>
      <w:r>
        <w:rPr>
          <w:rFonts w:ascii="Arial" w:hAnsi="Arial" w:cs="Arial"/>
          <w:b/>
        </w:rPr>
        <w:t xml:space="preserve">2. Case Types and AI Intervention Depth (Critical Boundaries)</w:t>
      </w:r>
    </w:p>
    <w:p>
      <w:pPr>
        <w:pStyle w:val="BodyText"/>
      </w:pPr>
      <w:r>
        <w:rPr>
          <w:rFonts w:ascii="Arial" w:hAnsi="Arial" w:cs="Arial"/>
        </w:rPr>
        <w:t xml:space="preserve">The mapping between case types and AI intervention depth is the most critical design decision of the Judicial System—it defines the boundaries of AI’s power within the judicial process. This mapping is based on two dimensions: the complexity of the case (difficulty of fact-finding, difficulty of legal application, degree of conflicting interests) and the degree of impact on the rights and interests of the parties involved (property rights, personal freedom, constitutional rights). AI intervention depth decreases from Category 1 to Category 4; the more significant the case, the more restricted AI’s role and the more central the role of human decision-makers.</w:t>
      </w:r>
    </w:p>
    <w:p>
      <w:pPr>
        <w:pStyle w:val="BodyText"/>
      </w:pPr>
      <w:r>
        <w:rPr>
          <w:rFonts w:ascii="Arial" w:hAnsi="Arial" w:cs="Arial"/>
          <w:b/>
        </w:rPr>
        <w:t xml:space="preserve">2.1 Category 1: Minor Civil · AI Full Automated Verdict</w:t>
      </w:r>
    </w:p>
    <w:p>
      <w:pPr>
        <w:pStyle w:val="BodyText"/>
      </w:pPr>
      <w:r>
        <w:rPr>
          <w:rFonts w:ascii="Arial" w:hAnsi="Arial" w:cs="Arial"/>
          <w:b/>
        </w:rPr>
        <w:t xml:space="preserve">2.1.1 Scope of Application</w:t>
      </w:r>
    </w:p>
    <w:p>
      <w:pPr>
        <w:pStyle w:val="BodyText"/>
      </w:pPr>
      <w:r>
        <w:rPr>
          <w:rFonts w:ascii="Arial" w:hAnsi="Arial" w:cs="Arial"/>
        </w:rPr>
        <w:t xml:space="preserve">Category 1 cases cover civil disputes with disputed amounts below 5,000 DAOTONG tokens, including but not limited to: minor consumer disputes, neighbor disputes, simple contract breaches, and property management disputes. The characteristics of these cases are clear facts, simple legal relationships, and limited social impact. In these cases, AI handles the entire process from case filing to verdict, but human judge formal confirmation is still required.</w:t>
      </w:r>
    </w:p>
    <w:p>
      <w:pPr>
        <w:pStyle w:val="BodyText"/>
      </w:pPr>
      <w:r>
        <w:rPr>
          <w:rFonts w:ascii="Arial" w:hAnsi="Arial" w:cs="Arial"/>
          <w:b/>
        </w:rPr>
        <w:t xml:space="preserve">2.1.2 AI Intervention Details</w:t>
      </w:r>
    </w:p>
    <w:p>
      <w:pPr>
        <w:pStyle w:val="BodyText"/>
      </w:pPr>
      <w:r>
        <w:rPr>
          <w:rFonts w:ascii="Arial" w:hAnsi="Arial" w:cs="Arial"/>
        </w:rPr>
        <w:t xml:space="preserve">In Category 1 cases, AI is responsible for all the following stages: automatic case filing and identity verification, evidence collection and preliminary assessment, legal application and verdict generation, and automatic generation of verdict documents. The human judge’s role is limited to formal confirmation—reviewing whether the AI-generated verdict document contains any obvious errors. The time limit for formal confirmation is 24 hours; failure to raise objections within this period constitutes confirmation. According to statistics, approximately 95% of Category 1 cases require no modifications during the formal confirmation stage.</w:t>
      </w:r>
    </w:p>
    <w:p>
      <w:pPr>
        <w:pStyle w:val="BodyText"/>
      </w:pPr>
      <w:r>
        <w:rPr>
          <w:rFonts w:ascii="Arial" w:hAnsi="Arial" w:cs="Arial"/>
          <w:b/>
        </w:rPr>
        <w:t xml:space="preserve">2.1.3 Technical Parameters</w:t>
      </w:r>
    </w:p>
    <w:p>
      <w:pPr>
        <w:numPr>
          <w:ilvl w:val="0"/>
          <w:numId w:val="1003"/>
        </w:numPr>
      </w:pPr>
      <w:r>
        <w:rPr>
          <w:rFonts w:ascii="Arial" w:hAnsi="Arial" w:cs="Arial"/>
        </w:rPr>
        <w:t xml:space="preserve">Maximum disputed amount: 5,000 DAOTONG tokens</w:t>
      </w:r>
    </w:p>
    <w:p>
      <w:pPr>
        <w:numPr>
          <w:ilvl w:val="0"/>
          <w:numId w:val="1003"/>
        </w:numPr>
      </w:pPr>
      <w:r>
        <w:rPr>
          <w:rFonts w:ascii="Arial" w:hAnsi="Arial" w:cs="Arial"/>
        </w:rPr>
        <w:t xml:space="preserve">Average processing cycle: 3 business days</w:t>
      </w:r>
    </w:p>
    <w:p>
      <w:pPr>
        <w:numPr>
          <w:ilvl w:val="0"/>
          <w:numId w:val="1003"/>
        </w:numPr>
      </w:pPr>
      <w:r>
        <w:rPr>
          <w:rFonts w:ascii="Arial" w:hAnsi="Arial" w:cs="Arial"/>
        </w:rPr>
        <w:t xml:space="preserve">Formal confirmation pass rate: 95%</w:t>
      </w:r>
    </w:p>
    <w:p>
      <w:pPr>
        <w:numPr>
          <w:ilvl w:val="0"/>
          <w:numId w:val="1003"/>
        </w:numPr>
      </w:pPr>
      <w:r>
        <w:rPr>
          <w:rFonts w:ascii="Arial" w:hAnsi="Arial" w:cs="Arial"/>
        </w:rPr>
        <w:t xml:space="preserve">Party satisfaction rate: 89% (most recent quarterly statistics)</w:t>
      </w:r>
    </w:p>
    <w:p>
      <w:pPr>
        <w:numPr>
          <w:ilvl w:val="0"/>
          <w:numId w:val="1003"/>
        </w:numPr>
      </w:pPr>
      <w:r>
        <w:rPr>
          <w:rFonts w:ascii="Arial" w:hAnsi="Arial" w:cs="Arial"/>
        </w:rPr>
        <w:t xml:space="preserve">Appeal rate: 4.2%</w:t>
      </w:r>
    </w:p>
    <w:p>
      <w:pPr>
        <w:pStyle w:val="FirstParagraph"/>
      </w:pPr>
      <w:r>
        <w:rPr>
          <w:rFonts w:ascii="Arial" w:hAnsi="Arial" w:cs="Arial"/>
          <w:b/>
        </w:rPr>
        <w:t xml:space="preserve">2.2 Category 2: Commercial/Labor · AI Assistance + Jury</w:t>
      </w:r>
    </w:p>
    <w:p>
      <w:pPr>
        <w:pStyle w:val="BodyText"/>
      </w:pPr>
      <w:r>
        <w:rPr>
          <w:rFonts w:ascii="Arial" w:hAnsi="Arial" w:cs="Arial"/>
          <w:b/>
        </w:rPr>
        <w:t xml:space="preserve">2.2.1 Scope of Application</w:t>
      </w:r>
    </w:p>
    <w:p>
      <w:pPr>
        <w:pStyle w:val="BodyText"/>
      </w:pPr>
      <w:r>
        <w:rPr>
          <w:rFonts w:ascii="Arial" w:hAnsi="Arial" w:cs="Arial"/>
        </w:rPr>
        <w:t xml:space="preserve">Category 2 cases cover commercial disputes and labor disputes, with disputed amounts between 5,000 and 500,000 DAOTONG tokens, including: contract disputes, corporate governance disputes, labor arbitration, and intellectual property disputes. The characteristics of these cases are relatively complex facts, some room for dispute in legal application, but no direct threat to the personal freedom of the parties involved.</w:t>
      </w:r>
    </w:p>
    <w:p>
      <w:pPr>
        <w:pStyle w:val="BodyText"/>
      </w:pPr>
      <w:r>
        <w:rPr>
          <w:rFonts w:ascii="Arial" w:hAnsi="Arial" w:cs="Arial"/>
          <w:b/>
        </w:rPr>
        <w:t xml:space="preserve">2.2.2 AI Intervention Details</w:t>
      </w:r>
    </w:p>
    <w:p>
      <w:pPr>
        <w:pStyle w:val="BodyText"/>
      </w:pPr>
      <w:r>
        <w:rPr>
          <w:rFonts w:ascii="Arial" w:hAnsi="Arial" w:cs="Arial"/>
        </w:rPr>
        <w:t xml:space="preserve">In Category 2 cases, AI is responsible for evidence collection and analysis, legal knowledge retrieval and case precedent matching, and draft verdict generation. However, the final verdict is confirmed by a randomly selected jury—the jury may accept, modify, or reject the AI’s draft verdict. The AI’s draft verdict includes a complete reasoning chain and confidence score, which the jury references when making decisions. The jury’s deliberation process is fully recorded, but the content of deliberations is kept confidential.</w:t>
      </w:r>
    </w:p>
    <w:p>
      <w:pPr>
        <w:pStyle w:val="BodyText"/>
      </w:pPr>
      <w:r>
        <w:rPr>
          <w:rFonts w:ascii="Arial" w:hAnsi="Arial" w:cs="Arial"/>
          <w:b/>
        </w:rPr>
        <w:t xml:space="preserve">2.2.3 Technical Parameters</w:t>
      </w:r>
    </w:p>
    <w:p>
      <w:pPr>
        <w:numPr>
          <w:ilvl w:val="0"/>
          <w:numId w:val="1004"/>
        </w:numPr>
      </w:pPr>
      <w:r>
        <w:rPr>
          <w:rFonts w:ascii="Arial" w:hAnsi="Arial" w:cs="Arial"/>
        </w:rPr>
        <w:t xml:space="preserve">Disputed amount range: 5,000–500,000 DAOTONG tokens</w:t>
      </w:r>
    </w:p>
    <w:p>
      <w:pPr>
        <w:numPr>
          <w:ilvl w:val="0"/>
          <w:numId w:val="1004"/>
        </w:numPr>
      </w:pPr>
      <w:r>
        <w:rPr>
          <w:rFonts w:ascii="Arial" w:hAnsi="Arial" w:cs="Arial"/>
        </w:rPr>
        <w:t xml:space="preserve">Jury size: 5 persons</w:t>
      </w:r>
    </w:p>
    <w:p>
      <w:pPr>
        <w:numPr>
          <w:ilvl w:val="0"/>
          <w:numId w:val="1004"/>
        </w:numPr>
      </w:pPr>
      <w:r>
        <w:rPr>
          <w:rFonts w:ascii="Arial" w:hAnsi="Arial" w:cs="Arial"/>
        </w:rPr>
        <w:t xml:space="preserve">Average processing cycle: 15 business days</w:t>
      </w:r>
    </w:p>
    <w:p>
      <w:pPr>
        <w:numPr>
          <w:ilvl w:val="0"/>
          <w:numId w:val="1004"/>
        </w:numPr>
      </w:pPr>
      <w:r>
        <w:rPr>
          <w:rFonts w:ascii="Arial" w:hAnsi="Arial" w:cs="Arial"/>
        </w:rPr>
        <w:t xml:space="preserve">Jury modification rate of AI draft: 23%</w:t>
      </w:r>
    </w:p>
    <w:p>
      <w:pPr>
        <w:numPr>
          <w:ilvl w:val="0"/>
          <w:numId w:val="1004"/>
        </w:numPr>
      </w:pPr>
      <w:r>
        <w:rPr>
          <w:rFonts w:ascii="Arial" w:hAnsi="Arial" w:cs="Arial"/>
        </w:rPr>
        <w:t xml:space="preserve">Appeal rate: 11.5%</w:t>
      </w:r>
    </w:p>
    <w:p>
      <w:pPr>
        <w:pStyle w:val="FirstParagraph"/>
      </w:pPr>
      <w:r>
        <w:rPr>
          <w:rFonts w:ascii="Arial" w:hAnsi="Arial" w:cs="Arial"/>
          <w:b/>
        </w:rPr>
        <w:t xml:space="preserve">2.3 Category 3: Major Civil · AI Evidence + Human Judge</w:t>
      </w:r>
    </w:p>
    <w:p>
      <w:pPr>
        <w:pStyle w:val="BodyText"/>
      </w:pPr>
      <w:r>
        <w:rPr>
          <w:rFonts w:ascii="Arial" w:hAnsi="Arial" w:cs="Arial"/>
          <w:b/>
        </w:rPr>
        <w:t xml:space="preserve">2.3.1 Scope of Application</w:t>
      </w:r>
    </w:p>
    <w:p>
      <w:pPr>
        <w:pStyle w:val="BodyText"/>
      </w:pPr>
      <w:r>
        <w:rPr>
          <w:rFonts w:ascii="Arial" w:hAnsi="Arial" w:cs="Arial"/>
        </w:rPr>
        <w:t xml:space="preserve">Category 3 cases cover major civil disputes with disputed amounts exceeding 500,000 DAOTONG tokens, or involving complex legal issues and significant social impact, including: major contract disputes, property rights disputes, personal injury compensation, environmental torts, and major intellectual property cases. The characteristics of these cases are complex facts, significant disputes in legal application, and veracity results that have notable impact on the parties involved and society.</w:t>
      </w:r>
    </w:p>
    <w:p>
      <w:pPr>
        <w:pStyle w:val="BodyText"/>
      </w:pPr>
      <w:r>
        <w:rPr>
          <w:rFonts w:ascii="Arial" w:hAnsi="Arial" w:cs="Arial"/>
          <w:b/>
        </w:rPr>
        <w:t xml:space="preserve">2.3.2 AI Intervention Details</w:t>
      </w:r>
    </w:p>
    <w:p>
      <w:pPr>
        <w:pStyle w:val="BodyText"/>
      </w:pPr>
      <w:r>
        <w:rPr>
          <w:rFonts w:ascii="Arial" w:hAnsi="Arial" w:cs="Arial"/>
        </w:rPr>
        <w:t xml:space="preserve">In Category 3 cases, AI’s role is strictly limited to evidence analysis and technical support. AI is responsible for: collection, organization, and preliminary assessment of evidence; data analysis and pattern recognition in fact-finding; legal knowledge retrieval and case precedent consistency verification. However, all fact-finding, legal application, and final verdicts are independently made by human judges. AI’s analytical conclusions serve only as reference; judges must independently form their own judgments and explain in the verdict document why they adopted or rejected AI’s analytical conclusions.</w:t>
      </w:r>
    </w:p>
    <w:p>
      <w:pPr>
        <w:pStyle w:val="BodyText"/>
      </w:pPr>
      <w:r>
        <w:rPr>
          <w:rFonts w:ascii="Arial" w:hAnsi="Arial" w:cs="Arial"/>
          <w:b/>
        </w:rPr>
        <w:t xml:space="preserve">2.3.3 Technical Parameters</w:t>
      </w:r>
    </w:p>
    <w:p>
      <w:pPr>
        <w:numPr>
          <w:ilvl w:val="0"/>
          <w:numId w:val="1005"/>
        </w:numPr>
      </w:pPr>
      <w:r>
        <w:rPr>
          <w:rFonts w:ascii="Arial" w:hAnsi="Arial" w:cs="Arial"/>
        </w:rPr>
        <w:t xml:space="preserve">Minimum disputed amount: 500,000 DAOTONG tokens</w:t>
      </w:r>
    </w:p>
    <w:p>
      <w:pPr>
        <w:numPr>
          <w:ilvl w:val="0"/>
          <w:numId w:val="1005"/>
        </w:numPr>
      </w:pPr>
      <w:r>
        <w:rPr>
          <w:rFonts w:ascii="Arial" w:hAnsi="Arial" w:cs="Arial"/>
        </w:rPr>
        <w:t xml:space="preserve">Number of human judges: 1–3</w:t>
      </w:r>
    </w:p>
    <w:p>
      <w:pPr>
        <w:numPr>
          <w:ilvl w:val="0"/>
          <w:numId w:val="1005"/>
        </w:numPr>
      </w:pPr>
      <w:r>
        <w:rPr>
          <w:rFonts w:ascii="Arial" w:hAnsi="Arial" w:cs="Arial"/>
        </w:rPr>
        <w:t xml:space="preserve">Average processing cycle: 45 business days</w:t>
      </w:r>
    </w:p>
    <w:p>
      <w:pPr>
        <w:numPr>
          <w:ilvl w:val="0"/>
          <w:numId w:val="1005"/>
        </w:numPr>
      </w:pPr>
      <w:r>
        <w:rPr>
          <w:rFonts w:ascii="Arial" w:hAnsi="Arial" w:cs="Arial"/>
        </w:rPr>
        <w:t xml:space="preserve">Judge adoption rate of AI analytical recommendations: 67%</w:t>
      </w:r>
    </w:p>
    <w:p>
      <w:pPr>
        <w:numPr>
          <w:ilvl w:val="0"/>
          <w:numId w:val="1005"/>
        </w:numPr>
      </w:pPr>
      <w:r>
        <w:rPr>
          <w:rFonts w:ascii="Arial" w:hAnsi="Arial" w:cs="Arial"/>
        </w:rPr>
        <w:t xml:space="preserve">Appeal rate: 18.3%</w:t>
      </w:r>
    </w:p>
    <w:p>
      <w:pPr>
        <w:pStyle w:val="FirstParagraph"/>
      </w:pPr>
      <w:r>
        <w:rPr>
          <w:rFonts w:ascii="Arial" w:hAnsi="Arial" w:cs="Arial"/>
          <w:b/>
        </w:rPr>
        <w:t xml:space="preserve">2.4 Category 4: Criminal Cases · AI Only for Evidence Chain</w:t>
      </w:r>
    </w:p>
    <w:p>
      <w:pPr>
        <w:pStyle w:val="BodyText"/>
      </w:pPr>
      <w:r>
        <w:rPr>
          <w:rFonts w:ascii="Arial" w:hAnsi="Arial" w:cs="Arial"/>
          <w:b/>
        </w:rPr>
        <w:t xml:space="preserve">2.4.1 Scope of Application</w:t>
      </w:r>
    </w:p>
    <w:p>
      <w:pPr>
        <w:pStyle w:val="BodyText"/>
      </w:pPr>
      <w:r>
        <w:rPr>
          <w:rFonts w:ascii="Arial" w:hAnsi="Arial" w:cs="Arial"/>
        </w:rPr>
        <w:t xml:space="preserve">Category 4 cases cover all criminal cases, from minor crimes to serious crimes. Criminal cases involve citizens’ personal freedom and even the right to life, making them the most sensitive and least tolerable area for error in the judicial system. Therefore, AI’s role in criminal cases is strictly limited to evidence chain construction and verification—AI does not participate in any decision-making process regarding fact-finding or legal application.</w:t>
      </w:r>
    </w:p>
    <w:p>
      <w:pPr>
        <w:pStyle w:val="BodyText"/>
      </w:pPr>
      <w:r>
        <w:rPr>
          <w:rFonts w:ascii="Arial" w:hAnsi="Arial" w:cs="Arial"/>
          <w:b/>
        </w:rPr>
        <w:t xml:space="preserve">2.4.2 AI Intervention Details</w:t>
      </w:r>
    </w:p>
    <w:p>
      <w:pPr>
        <w:pStyle w:val="BodyText"/>
      </w:pPr>
      <w:r>
        <w:rPr>
          <w:rFonts w:ascii="Arial" w:hAnsi="Arial" w:cs="Arial"/>
        </w:rPr>
        <w:t xml:space="preserve">In Category 4 cases, AI’s responsibilities are limited to the following technical work: collection, preservation, and hash verification of digital evidence; logical relationship analysis and timeline construction between evidence; cross-verification of physical evidence and digital evidence; automatic verification of evidence chain completeness. AI does not perform any reasoning regarding the defendant’s guilt or innocence, nor does it generate any biased analytical reports. All AI-generated evidence analysis results must be independently verified by both the prosecution and defense before they can be used as evidence.</w:t>
      </w:r>
    </w:p>
    <w:p>
      <w:pPr>
        <w:pStyle w:val="BodyText"/>
      </w:pPr>
      <w:r>
        <w:rPr>
          <w:rFonts w:ascii="Arial" w:hAnsi="Arial" w:cs="Arial"/>
          <w:b/>
        </w:rPr>
        <w:t xml:space="preserve">2.4.3 Technical Parameters</w:t>
      </w:r>
    </w:p>
    <w:p>
      <w:pPr>
        <w:numPr>
          <w:ilvl w:val="0"/>
          <w:numId w:val="1006"/>
        </w:numPr>
      </w:pPr>
      <w:r>
        <w:rPr>
          <w:rFonts w:ascii="Arial" w:hAnsi="Arial" w:cs="Arial"/>
        </w:rPr>
        <w:t xml:space="preserve">AI reasoning depth: Limited to evidence relationship analysis; no guilt/innocence reasoning</w:t>
      </w:r>
    </w:p>
    <w:p>
      <w:pPr>
        <w:numPr>
          <w:ilvl w:val="0"/>
          <w:numId w:val="1006"/>
        </w:numPr>
      </w:pPr>
      <w:r>
        <w:rPr>
          <w:rFonts w:ascii="Arial" w:hAnsi="Arial" w:cs="Arial"/>
        </w:rPr>
        <w:t xml:space="preserve">Evidence hash verification: SHA-256, tamper-proof</w:t>
      </w:r>
    </w:p>
    <w:p>
      <w:pPr>
        <w:numPr>
          <w:ilvl w:val="0"/>
          <w:numId w:val="1006"/>
        </w:numPr>
      </w:pPr>
      <w:r>
        <w:rPr>
          <w:rFonts w:ascii="Arial" w:hAnsi="Arial" w:cs="Arial"/>
        </w:rPr>
        <w:t xml:space="preserve">Human judges/jury: 3 judges + 9 jurors</w:t>
      </w:r>
    </w:p>
    <w:p>
      <w:pPr>
        <w:numPr>
          <w:ilvl w:val="0"/>
          <w:numId w:val="1006"/>
        </w:numPr>
      </w:pPr>
      <w:r>
        <w:rPr>
          <w:rFonts w:ascii="Arial" w:hAnsi="Arial" w:cs="Arial"/>
        </w:rPr>
        <w:t xml:space="preserve">Average processing cycle: 90 business days (including trial)</w:t>
      </w:r>
    </w:p>
    <w:p>
      <w:pPr>
        <w:numPr>
          <w:ilvl w:val="0"/>
          <w:numId w:val="1006"/>
        </w:numPr>
      </w:pPr>
      <w:r>
        <w:rPr>
          <w:rFonts w:ascii="Arial" w:hAnsi="Arial" w:cs="Arial"/>
        </w:rPr>
        <w:t xml:space="preserve">Misjudgment rate target: &lt;0.01% (one in ten thousand)</w:t>
      </w:r>
    </w:p>
    <w:p>
      <w:pPr>
        <w:pStyle w:val="FirstParagraph"/>
      </w:pPr>
      <w:r>
        <w:rPr>
          <w:rFonts w:ascii="Arial" w:hAnsi="Arial" w:cs="Arial"/>
          <w:b/>
        </w:rPr>
        <w:t xml:space="preserve">2.5 Overview of Four Case Categories</w:t>
      </w:r>
    </w:p>
    <w:tbl>
      <w:tblPr>
        <w:tblStyle w:val="Table"/>
        <w:tblW w:type="pct" w:w="4999.999999999999"/>
        <w:tblLook w:firstRow="0"/>
      </w:tblPr>
      <w:tblGrid>
        <w:gridCol w:w="1245"/>
        <w:gridCol w:w="1245"/>
        <w:gridCol w:w="1690"/>
        <w:gridCol w:w="1245"/>
        <w:gridCol w:w="1245"/>
        <w:gridCol w:w="1245"/>
      </w:tblGrid>
      <w:tr>
        <w:tc>
          <w:p>
            <w:pPr>
              <w:pStyle w:val="Compact"/>
              <w:jc w:val="left"/>
            </w:pPr>
            <w:r>
              <w:rPr>
                <w:rFonts w:ascii="Arial" w:hAnsi="Arial" w:cs="Arial"/>
                <w:b/>
              </w:rPr>
              <w:t xml:space="preserve">Case Category</w:t>
            </w:r>
          </w:p>
        </w:tc>
        <w:tc>
          <w:p>
            <w:pPr>
              <w:pStyle w:val="Compact"/>
              <w:jc w:val="left"/>
            </w:pPr>
            <w:r>
              <w:rPr>
                <w:rFonts w:ascii="Arial" w:hAnsi="Arial" w:cs="Arial"/>
                <w:b/>
              </w:rPr>
              <w:t xml:space="preserve">Case Type</w:t>
            </w:r>
          </w:p>
        </w:tc>
        <w:tc>
          <w:p>
            <w:pPr>
              <w:pStyle w:val="Compact"/>
              <w:jc w:val="left"/>
            </w:pPr>
            <w:r>
              <w:rPr>
                <w:rFonts w:ascii="Arial" w:hAnsi="Arial" w:cs="Arial"/>
                <w:b/>
              </w:rPr>
              <w:t xml:space="preserve">AI Intervention Depth</w:t>
            </w:r>
          </w:p>
        </w:tc>
        <w:tc>
          <w:p>
            <w:pPr>
              <w:pStyle w:val="Compact"/>
              <w:jc w:val="left"/>
            </w:pPr>
            <w:r>
              <w:rPr>
                <w:rFonts w:ascii="Arial" w:hAnsi="Arial" w:cs="Arial"/>
                <w:b/>
              </w:rPr>
              <w:t xml:space="preserve">Human Role</w:t>
            </w:r>
          </w:p>
        </w:tc>
        <w:tc>
          <w:p>
            <w:pPr>
              <w:pStyle w:val="Compact"/>
              <w:jc w:val="left"/>
            </w:pPr>
            <w:r>
              <w:rPr>
                <w:rFonts w:ascii="Arial" w:hAnsi="Arial" w:cs="Arial"/>
                <w:b/>
              </w:rPr>
              <w:t xml:space="preserve">Amount Range</w:t>
            </w:r>
          </w:p>
        </w:tc>
        <w:tc>
          <w:p>
            <w:pPr>
              <w:pStyle w:val="Compact"/>
              <w:jc w:val="left"/>
            </w:pPr>
            <w:r>
              <w:rPr>
                <w:rFonts w:ascii="Arial" w:hAnsi="Arial" w:cs="Arial"/>
                <w:b/>
              </w:rPr>
              <w:t xml:space="preserve">Processing Cycle</w:t>
            </w:r>
          </w:p>
        </w:tc>
      </w:tr>
      <w:tr>
        <w:tc>
          <w:p>
            <w:pPr>
              <w:pStyle w:val="Compact"/>
              <w:jc w:val="left"/>
            </w:pPr>
            <w:r>
              <w:rPr>
                <w:rFonts w:ascii="Arial" w:hAnsi="Arial" w:cs="Arial"/>
              </w:rPr>
              <w:t xml:space="preserve">Category 1</w:t>
            </w:r>
          </w:p>
        </w:tc>
        <w:tc>
          <w:p>
            <w:pPr>
              <w:pStyle w:val="Compact"/>
              <w:jc w:val="left"/>
            </w:pPr>
            <w:r>
              <w:rPr>
                <w:rFonts w:ascii="Arial" w:hAnsi="Arial" w:cs="Arial"/>
              </w:rPr>
              <w:t xml:space="preserve">Minor Civil</w:t>
            </w:r>
          </w:p>
        </w:tc>
        <w:tc>
          <w:p>
            <w:pPr>
              <w:pStyle w:val="Compact"/>
              <w:jc w:val="left"/>
            </w:pPr>
            <w:r>
              <w:rPr>
                <w:rFonts w:ascii="Arial" w:hAnsi="Arial" w:cs="Arial"/>
              </w:rPr>
              <w:t xml:space="preserve">AI Full Automated Verdict</w:t>
            </w:r>
          </w:p>
        </w:tc>
        <w:tc>
          <w:p>
            <w:pPr>
              <w:pStyle w:val="Compact"/>
              <w:jc w:val="left"/>
            </w:pPr>
            <w:r>
              <w:rPr>
                <w:rFonts w:ascii="Arial" w:hAnsi="Arial" w:cs="Arial"/>
              </w:rPr>
              <w:t xml:space="preserve">Formal Confirmation</w:t>
            </w:r>
          </w:p>
        </w:tc>
        <w:tc>
          <w:p>
            <w:pPr>
              <w:pStyle w:val="Compact"/>
              <w:jc w:val="left"/>
            </w:pPr>
            <w:r>
              <w:rPr>
                <w:rFonts w:ascii="Arial" w:hAnsi="Arial" w:cs="Arial"/>
              </w:rPr>
              <w:t xml:space="preserve">&lt;5,000</w:t>
            </w:r>
          </w:p>
        </w:tc>
        <w:tc>
          <w:p>
            <w:pPr>
              <w:pStyle w:val="Compact"/>
              <w:jc w:val="left"/>
            </w:pPr>
            <w:r>
              <w:rPr>
                <w:rFonts w:ascii="Arial" w:hAnsi="Arial" w:cs="Arial"/>
              </w:rPr>
              <w:t xml:space="preserve">3 days</w:t>
            </w:r>
          </w:p>
        </w:tc>
      </w:tr>
      <w:tr>
        <w:tc>
          <w:p>
            <w:pPr>
              <w:pStyle w:val="Compact"/>
              <w:jc w:val="left"/>
            </w:pPr>
            <w:r>
              <w:rPr>
                <w:rFonts w:ascii="Arial" w:hAnsi="Arial" w:cs="Arial"/>
              </w:rPr>
              <w:t xml:space="preserve">Category 2</w:t>
            </w:r>
          </w:p>
        </w:tc>
        <w:tc>
          <w:p>
            <w:pPr>
              <w:pStyle w:val="Compact"/>
              <w:jc w:val="left"/>
            </w:pPr>
            <w:r>
              <w:rPr>
                <w:rFonts w:ascii="Arial" w:hAnsi="Arial" w:cs="Arial"/>
              </w:rPr>
              <w:t xml:space="preserve">Commercial/Labor</w:t>
            </w:r>
          </w:p>
        </w:tc>
        <w:tc>
          <w:p>
            <w:pPr>
              <w:pStyle w:val="Compact"/>
              <w:jc w:val="left"/>
            </w:pPr>
            <w:r>
              <w:rPr>
                <w:rFonts w:ascii="Arial" w:hAnsi="Arial" w:cs="Arial"/>
              </w:rPr>
              <w:t xml:space="preserve">AI Assistance + Jury</w:t>
            </w:r>
          </w:p>
        </w:tc>
        <w:tc>
          <w:p>
            <w:pPr>
              <w:pStyle w:val="Compact"/>
              <w:jc w:val="left"/>
            </w:pPr>
            <w:r>
              <w:rPr>
                <w:rFonts w:ascii="Arial" w:hAnsi="Arial" w:cs="Arial"/>
              </w:rPr>
              <w:t xml:space="preserve">Jury Confirmation</w:t>
            </w:r>
          </w:p>
        </w:tc>
        <w:tc>
          <w:p>
            <w:pPr>
              <w:pStyle w:val="Compact"/>
              <w:jc w:val="left"/>
            </w:pPr>
            <w:r>
              <w:rPr>
                <w:rFonts w:ascii="Arial" w:hAnsi="Arial" w:cs="Arial"/>
              </w:rPr>
              <w:t xml:space="preserve">5K–500K</w:t>
            </w:r>
          </w:p>
        </w:tc>
        <w:tc>
          <w:p>
            <w:pPr>
              <w:pStyle w:val="Compact"/>
              <w:jc w:val="left"/>
            </w:pPr>
            <w:r>
              <w:rPr>
                <w:rFonts w:ascii="Arial" w:hAnsi="Arial" w:cs="Arial"/>
              </w:rPr>
              <w:t xml:space="preserve">15 days</w:t>
            </w:r>
          </w:p>
        </w:tc>
      </w:tr>
      <w:tr>
        <w:tc>
          <w:p>
            <w:pPr>
              <w:pStyle w:val="Compact"/>
              <w:jc w:val="left"/>
            </w:pPr>
            <w:r>
              <w:rPr>
                <w:rFonts w:ascii="Arial" w:hAnsi="Arial" w:cs="Arial"/>
              </w:rPr>
              <w:t xml:space="preserve">Category 3</w:t>
            </w:r>
          </w:p>
        </w:tc>
        <w:tc>
          <w:p>
            <w:pPr>
              <w:pStyle w:val="Compact"/>
              <w:jc w:val="left"/>
            </w:pPr>
            <w:r>
              <w:rPr>
                <w:rFonts w:ascii="Arial" w:hAnsi="Arial" w:cs="Arial"/>
              </w:rPr>
              <w:t xml:space="preserve">Major Civil</w:t>
            </w:r>
          </w:p>
        </w:tc>
        <w:tc>
          <w:p>
            <w:pPr>
              <w:pStyle w:val="Compact"/>
              <w:jc w:val="left"/>
            </w:pPr>
            <w:r>
              <w:rPr>
                <w:rFonts w:ascii="Arial" w:hAnsi="Arial" w:cs="Arial"/>
              </w:rPr>
              <w:t xml:space="preserve">AI Evidence + Human Judge</w:t>
            </w:r>
          </w:p>
        </w:tc>
        <w:tc>
          <w:p>
            <w:pPr>
              <w:pStyle w:val="Compact"/>
              <w:jc w:val="left"/>
            </w:pPr>
            <w:r>
              <w:rPr>
                <w:rFonts w:ascii="Arial" w:hAnsi="Arial" w:cs="Arial"/>
              </w:rPr>
              <w:t xml:space="preserve">Judge Verdict</w:t>
            </w:r>
          </w:p>
        </w:tc>
        <w:tc>
          <w:p>
            <w:pPr>
              <w:pStyle w:val="Compact"/>
              <w:jc w:val="left"/>
            </w:pPr>
            <w:r>
              <w:rPr>
                <w:rFonts w:ascii="Arial" w:hAnsi="Arial" w:cs="Arial"/>
              </w:rPr>
              <w:t xml:space="preserve">&gt;500K</w:t>
            </w:r>
          </w:p>
        </w:tc>
        <w:tc>
          <w:p>
            <w:pPr>
              <w:pStyle w:val="Compact"/>
              <w:jc w:val="left"/>
            </w:pPr>
            <w:r>
              <w:rPr>
                <w:rFonts w:ascii="Arial" w:hAnsi="Arial" w:cs="Arial"/>
              </w:rPr>
              <w:t xml:space="preserve">45 days</w:t>
            </w:r>
          </w:p>
        </w:tc>
      </w:tr>
      <w:tr>
        <w:tc>
          <w:p>
            <w:pPr>
              <w:pStyle w:val="Compact"/>
              <w:jc w:val="left"/>
            </w:pPr>
            <w:r>
              <w:rPr>
                <w:rFonts w:ascii="Arial" w:hAnsi="Arial" w:cs="Arial"/>
              </w:rPr>
              <w:t xml:space="preserve">Category 4</w:t>
            </w:r>
          </w:p>
        </w:tc>
        <w:tc>
          <w:p>
            <w:pPr>
              <w:pStyle w:val="Compact"/>
              <w:jc w:val="left"/>
            </w:pPr>
            <w:r>
              <w:rPr>
                <w:rFonts w:ascii="Arial" w:hAnsi="Arial" w:cs="Arial"/>
              </w:rPr>
              <w:t xml:space="preserve">Criminal</w:t>
            </w:r>
          </w:p>
        </w:tc>
        <w:tc>
          <w:p>
            <w:pPr>
              <w:pStyle w:val="Compact"/>
              <w:jc w:val="left"/>
            </w:pPr>
            <w:r>
              <w:rPr>
                <w:rFonts w:ascii="Arial" w:hAnsi="Arial" w:cs="Arial"/>
              </w:rPr>
              <w:t xml:space="preserve">AI Only for Evidence Chain</w:t>
            </w:r>
          </w:p>
        </w:tc>
        <w:tc>
          <w:p>
            <w:pPr>
              <w:pStyle w:val="Compact"/>
              <w:jc w:val="left"/>
            </w:pPr>
            <w:r>
              <w:rPr>
                <w:rFonts w:ascii="Arial" w:hAnsi="Arial" w:cs="Arial"/>
              </w:rPr>
              <w:t xml:space="preserve">Judge + Jury</w:t>
            </w:r>
          </w:p>
        </w:tc>
        <w:tc>
          <w:p>
            <w:pPr>
              <w:pStyle w:val="Compact"/>
              <w:jc w:val="left"/>
            </w:pPr>
            <w:r>
              <w:rPr>
                <w:rFonts w:ascii="Arial" w:hAnsi="Arial" w:cs="Arial"/>
              </w:rPr>
              <w:t xml:space="preserve">Not Applicable</w:t>
            </w:r>
          </w:p>
        </w:tc>
        <w:tc>
          <w:p>
            <w:pPr>
              <w:pStyle w:val="Compact"/>
              <w:jc w:val="left"/>
            </w:pPr>
            <w:r>
              <w:rPr>
                <w:rFonts w:ascii="Arial" w:hAnsi="Arial" w:cs="Arial"/>
              </w:rPr>
              <w:t xml:space="preserve">90 days</w:t>
            </w:r>
          </w:p>
        </w:tc>
      </w:tr>
    </w:tbl>
    <w:p>
      <w:pPr>
        <w:pStyle w:val="BodyText"/>
      </w:pPr>
      <w:r>
        <w:rPr>
          <w:rFonts w:ascii="Arial" w:hAnsi="Arial" w:cs="Arial"/>
          <w:b/>
        </w:rPr>
        <w:t xml:space="preserve">3. Complete Case Lifecycle (Illustrated with Category 2)</w:t>
      </w:r>
    </w:p>
    <w:p>
      <w:pPr>
        <w:pStyle w:val="BodyText"/>
      </w:pPr>
      <w:r>
        <w:rPr>
          <w:rFonts w:ascii="Arial" w:hAnsi="Arial" w:cs="Arial"/>
        </w:rPr>
        <w:t xml:space="preserve">Case lifecycle management is the operational backbone of the Judicial System. It defines every step from case filing to execution, including inputs and outputs for each step, responsible parties, and time limits. This chapter uses Category 2 cases (commercial/labor, AI assistance + jury) as an example to fully demonstrate the six lifecycle stages of a case. Category 2 cases are chosen as the illustration because they represent an intermediate position in AI intervention depth—featuring both deep AI participation and human jury judgment, thus best presenting the complete picture of human-machine collaboration in the judicial system.</w:t>
      </w:r>
    </w:p>
    <w:p>
      <w:pPr>
        <w:pStyle w:val="BodyText"/>
      </w:pPr>
      <w:r>
        <w:rPr>
          <w:rFonts w:ascii="Arial" w:hAnsi="Arial" w:cs="Arial"/>
          <w:b/>
        </w:rPr>
        <w:t xml:space="preserve">3.1 Filing → Identity Verification</w:t>
      </w:r>
    </w:p>
    <w:p>
      <w:pPr>
        <w:pStyle w:val="BodyText"/>
      </w:pPr>
      <w:r>
        <w:rPr>
          <w:rFonts w:ascii="Arial" w:hAnsi="Arial" w:cs="Arial"/>
          <w:b/>
        </w:rPr>
        <w:t xml:space="preserve">3.1.1 Process Description</w:t>
      </w:r>
    </w:p>
    <w:p>
      <w:pPr>
        <w:pStyle w:val="BodyText"/>
      </w:pPr>
      <w:r>
        <w:rPr>
          <w:rFonts w:ascii="Arial" w:hAnsi="Arial" w:cs="Arial"/>
        </w:rPr>
        <w:t xml:space="preserve">The starting point of the case lifecycle is the filing application. The party submits a filing application through the public interface of the DAOTONG Judicial Platform. The system automatically performs formal review: jurisdiction confirmation, statute of limitations verification, and duplicate filing check. After passing the formal review, the system requires the party to undergo identity verification—using multi-factor authentication: biometrics (facial recognition + voiceprint) + digital identity certificate + liveness detection. The purpose of ID verification is to ensure the authenticity of litigation subjects, preventing impersonation lawsuits and fraudulent litigation.</w:t>
      </w:r>
    </w:p>
    <w:p>
      <w:pPr>
        <w:pStyle w:val="BodyText"/>
      </w:pPr>
      <w:r>
        <w:rPr>
          <w:rFonts w:ascii="Arial" w:hAnsi="Arial" w:cs="Arial"/>
          <w:b/>
        </w:rPr>
        <w:t xml:space="preserve">3.1.2 Technical Protocols</w:t>
      </w:r>
    </w:p>
    <w:p>
      <w:pPr>
        <w:numPr>
          <w:ilvl w:val="0"/>
          <w:numId w:val="1007"/>
        </w:numPr>
      </w:pPr>
      <w:r>
        <w:rPr>
          <w:rFonts w:ascii="Arial" w:hAnsi="Arial" w:cs="Arial"/>
        </w:rPr>
        <w:t xml:space="preserve">Identity verification protocol: W3C DID Standard + DAOTONG Identity Layer Extension</w:t>
      </w:r>
    </w:p>
    <w:p>
      <w:pPr>
        <w:numPr>
          <w:ilvl w:val="0"/>
          <w:numId w:val="1007"/>
        </w:numPr>
      </w:pPr>
      <w:r>
        <w:rPr>
          <w:rFonts w:ascii="Arial" w:hAnsi="Arial" w:cs="Arial"/>
        </w:rPr>
        <w:t xml:space="preserve">Biometric processing: Local encrypted computation, raw data not uploaded, only feature vectors transmitted</w:t>
      </w:r>
    </w:p>
    <w:p>
      <w:pPr>
        <w:numPr>
          <w:ilvl w:val="0"/>
          <w:numId w:val="1007"/>
        </w:numPr>
      </w:pPr>
      <w:r>
        <w:rPr>
          <w:rFonts w:ascii="Arial" w:hAnsi="Arial" w:cs="Arial"/>
        </w:rPr>
        <w:t xml:space="preserve">Liveness detection: 3D depth sensing + random action commands</w:t>
      </w:r>
    </w:p>
    <w:p>
      <w:pPr>
        <w:numPr>
          <w:ilvl w:val="0"/>
          <w:numId w:val="1007"/>
        </w:numPr>
      </w:pPr>
      <w:r>
        <w:rPr>
          <w:rFonts w:ascii="Arial" w:hAnsi="Arial" w:cs="Arial"/>
        </w:rPr>
        <w:t xml:space="preserve">Verification pass rate target: &gt;99.5% (for legitimate users)</w:t>
      </w:r>
    </w:p>
    <w:p>
      <w:pPr>
        <w:numPr>
          <w:ilvl w:val="0"/>
          <w:numId w:val="1007"/>
        </w:numPr>
      </w:pPr>
      <w:r>
        <w:rPr>
          <w:rFonts w:ascii="Arial" w:hAnsi="Arial" w:cs="Arial"/>
        </w:rPr>
        <w:t xml:space="preserve">Verification failure handling: After 3 failures, transfer to manual review channel</w:t>
      </w:r>
    </w:p>
    <w:p>
      <w:pPr>
        <w:pStyle w:val="FirstParagraph"/>
      </w:pPr>
      <w:r>
        <w:rPr>
          <w:rFonts w:ascii="Arial" w:hAnsi="Arial" w:cs="Arial"/>
          <w:b/>
        </w:rPr>
        <w:t xml:space="preserve">3.2 Evidence Collection → AI Automatic</w:t>
      </w:r>
    </w:p>
    <w:p>
      <w:pPr>
        <w:pStyle w:val="BodyText"/>
      </w:pPr>
      <w:r>
        <w:rPr>
          <w:rFonts w:ascii="Arial" w:hAnsi="Arial" w:cs="Arial"/>
          <w:b/>
        </w:rPr>
        <w:t xml:space="preserve">3.2.1 Process Description</w:t>
      </w:r>
    </w:p>
    <w:p>
      <w:pPr>
        <w:pStyle w:val="BodyText"/>
      </w:pPr>
      <w:r>
        <w:rPr>
          <w:rFonts w:ascii="Arial" w:hAnsi="Arial" w:cs="Arial"/>
        </w:rPr>
        <w:t xml:space="preserve">Upon completion of case filing, the Evidence Collection Engine automatically starts. Based on case type and dispute focus, the system automatically collects relevant evidence from the following sources: on-chain transaction records and Smart Contract execution logs; relevant communication records (with party authorization); relevant records in public databases; sensor data from Internet of Things devices (such as surveillance video, location data). All collected evidence undergoes immediate hash verification and timestamp solidification upon entering the system, ensuring evidence integrity and immutability.</w:t>
      </w:r>
    </w:p>
    <w:p>
      <w:pPr>
        <w:pStyle w:val="BodyText"/>
      </w:pPr>
      <w:r>
        <w:rPr>
          <w:rFonts w:ascii="Arial" w:hAnsi="Arial" w:cs="Arial"/>
          <w:b/>
        </w:rPr>
        <w:t xml:space="preserve">3.2.2 Technical Protocols</w:t>
      </w:r>
    </w:p>
    <w:p>
      <w:pPr>
        <w:numPr>
          <w:ilvl w:val="0"/>
          <w:numId w:val="1008"/>
        </w:numPr>
      </w:pPr>
      <w:r>
        <w:rPr>
          <w:rFonts w:ascii="Arial" w:hAnsi="Arial" w:cs="Arial"/>
        </w:rPr>
        <w:t xml:space="preserve">Evidence hash algorithm: SHA-256, each piece of evidence calculated independently</w:t>
      </w:r>
    </w:p>
    <w:p>
      <w:pPr>
        <w:numPr>
          <w:ilvl w:val="0"/>
          <w:numId w:val="1008"/>
        </w:numPr>
      </w:pPr>
      <w:r>
        <w:rPr>
          <w:rFonts w:ascii="Arial" w:hAnsi="Arial" w:cs="Arial"/>
        </w:rPr>
        <w:t xml:space="preserve">Timestamp service: Distributed timestamp server, millisecond precision</w:t>
      </w:r>
    </w:p>
    <w:p>
      <w:pPr>
        <w:numPr>
          <w:ilvl w:val="0"/>
          <w:numId w:val="1008"/>
        </w:numPr>
      </w:pPr>
      <w:r>
        <w:rPr>
          <w:rFonts w:ascii="Arial" w:hAnsi="Arial" w:cs="Arial"/>
        </w:rPr>
        <w:t xml:space="preserve">Evidence format standard: DAOTONG Evidence Standard v2.0</w:t>
      </w:r>
    </w:p>
    <w:p>
      <w:pPr>
        <w:numPr>
          <w:ilvl w:val="0"/>
          <w:numId w:val="1008"/>
        </w:numPr>
      </w:pPr>
      <w:r>
        <w:rPr>
          <w:rFonts w:ascii="Arial" w:hAnsi="Arial" w:cs="Arial"/>
        </w:rPr>
        <w:t xml:space="preserve">Privacy protection: Only data directly related to the case is collected; out-of-scope collection is automatically rejected</w:t>
      </w:r>
    </w:p>
    <w:p>
      <w:pPr>
        <w:numPr>
          <w:ilvl w:val="0"/>
          <w:numId w:val="1008"/>
        </w:numPr>
      </w:pPr>
      <w:r>
        <w:rPr>
          <w:rFonts w:ascii="Arial" w:hAnsi="Arial" w:cs="Arial"/>
        </w:rPr>
        <w:t xml:space="preserve">Collection time limit: 7 business days</w:t>
      </w:r>
    </w:p>
    <w:p>
      <w:pPr>
        <w:pStyle w:val="FirstParagraph"/>
      </w:pPr>
      <w:r>
        <w:rPr>
          <w:rFonts w:ascii="Arial" w:hAnsi="Arial" w:cs="Arial"/>
          <w:b/>
        </w:rPr>
        <w:t xml:space="preserve">3.3 Verification → Cross-Reference</w:t>
      </w:r>
    </w:p>
    <w:p>
      <w:pPr>
        <w:pStyle w:val="BodyText"/>
      </w:pPr>
      <w:r>
        <w:rPr>
          <w:rFonts w:ascii="Arial" w:hAnsi="Arial" w:cs="Arial"/>
          <w:b/>
        </w:rPr>
        <w:t xml:space="preserve">3.3.1 Process Description</w:t>
      </w:r>
    </w:p>
    <w:p>
      <w:pPr>
        <w:pStyle w:val="BodyText"/>
      </w:pPr>
      <w:r>
        <w:rPr>
          <w:rFonts w:ascii="Arial" w:hAnsi="Arial" w:cs="Arial"/>
        </w:rPr>
        <w:t>After evidence collection is complete, the system enters the verification stage. The core task of this stage is to cross-reference the collected evidence, verify consistency between evidence items, and identify potential contradictions and forgery traces. Specific work includes: timeline consistency check—verifying whether evidence from different sources matches temporally; logical consistency check—verifying whether there are logical contradictions between evidence items; source credibility assessment—assessing the reliability of each evidence source. Verification results are output in the form of an “Evidence Credibility Report,” labeling each evidence item’s credibility level (A/B/C/D).</w:t>
      </w:r>
    </w:p>
    <w:p>
      <w:pPr>
        <w:pStyle w:val="BodyText"/>
      </w:pPr>
      <w:r>
        <w:rPr>
          <w:rFonts w:ascii="Arial" w:hAnsi="Arial" w:cs="Arial"/>
          <w:b/>
        </w:rPr>
        <w:t xml:space="preserve">3.3.2 Technical Protocols</w:t>
      </w:r>
    </w:p>
    <w:p>
      <w:pPr>
        <w:numPr>
          <w:ilvl w:val="0"/>
          <w:numId w:val="1009"/>
        </w:numPr>
      </w:pPr>
      <w:r>
        <w:rPr>
          <w:rFonts w:ascii="Arial" w:hAnsi="Arial" w:cs="Arial"/>
        </w:rPr>
        <w:t xml:space="preserve">Cross-reference algorithm: Multi-Source Consistency Verification Protocol (MSCVP)</w:t>
      </w:r>
    </w:p>
    <w:p>
      <w:pPr>
        <w:numPr>
          <w:ilvl w:val="0"/>
          <w:numId w:val="1009"/>
        </w:numPr>
      </w:pPr>
      <w:r>
        <w:rPr>
          <w:rFonts w:ascii="Arial" w:hAnsi="Arial" w:cs="Arial"/>
        </w:rPr>
        <w:t xml:space="preserve">Credibility levels: A (Confirmed) / B (Highly Credible) / C (Generally Credible) / D (Questionable)</w:t>
      </w:r>
    </w:p>
    <w:p>
      <w:pPr>
        <w:numPr>
          <w:ilvl w:val="0"/>
          <w:numId w:val="1009"/>
        </w:numPr>
      </w:pPr>
      <w:r>
        <w:rPr>
          <w:rFonts w:ascii="Arial" w:hAnsi="Arial" w:cs="Arial"/>
        </w:rPr>
        <w:t>Level D evidence handling: Automatically marked as “Requires Manual Verification,” excluded from AI reasoning</w:t>
      </w:r>
    </w:p>
    <w:p>
      <w:pPr>
        <w:numPr>
          <w:ilvl w:val="0"/>
          <w:numId w:val="1009"/>
        </w:numPr>
      </w:pPr>
      <w:r>
        <w:rPr>
          <w:rFonts w:ascii="Arial" w:hAnsi="Arial" w:cs="Arial"/>
        </w:rPr>
        <w:t xml:space="preserve">Verification time limit: 5 business days</w:t>
      </w:r>
    </w:p>
    <w:p>
      <w:pPr>
        <w:pStyle w:val="FirstParagraph"/>
      </w:pPr>
      <w:r>
        <w:rPr>
          <w:rFonts w:ascii="Arial" w:hAnsi="Arial" w:cs="Arial"/>
          <w:b/>
        </w:rPr>
        <w:t xml:space="preserve">3.4 Verdict Generation → Explainable Reasoning</w:t>
      </w:r>
    </w:p>
    <w:p>
      <w:pPr>
        <w:pStyle w:val="BodyText"/>
      </w:pPr>
      <w:r>
        <w:rPr>
          <w:rFonts w:ascii="Arial" w:hAnsi="Arial" w:cs="Arial"/>
          <w:b/>
        </w:rPr>
        <w:t xml:space="preserve">3.4.1 Process Description</w:t>
      </w:r>
    </w:p>
    <w:p>
      <w:pPr>
        <w:pStyle w:val="BodyText"/>
      </w:pPr>
      <w:r>
        <w:rPr>
          <w:rFonts w:ascii="Arial" w:hAnsi="Arial" w:cs="Arial"/>
        </w:rPr>
        <w:t>After verification passes, the Verdict Reasoning Engine starts to generate a draft verdict. Verdict reasoning is not simply “input facts → output result,” but rather a multi-step reasoning process: Step 1, legal knowledge graph matching—locating relevant legal provisions and judicial interpretations in the legal knowledge graph for the case; Step 2, case precedent consistency verification—retrieving similar cases to ensure the verdict is consistent with existing precedents; Step 3, ethical weight model invocation—invoking the ethical weight model from the alignment system to ensure the verdict aligns with values; Step 4, reasoning chain generation—generating a complete explainable reasoning chain; Step 5, confidence assessment—annotating uncertainty for the verdict conclusion.</w:t>
      </w:r>
    </w:p>
    <w:p>
      <w:pPr>
        <w:pStyle w:val="BodyText"/>
      </w:pPr>
      <w:r>
        <w:rPr>
          <w:rFonts w:ascii="Arial" w:hAnsi="Arial" w:cs="Arial"/>
          <w:b/>
        </w:rPr>
        <w:t xml:space="preserve">3.4.2 Technical Protocols</w:t>
      </w:r>
    </w:p>
    <w:p>
      <w:pPr>
        <w:numPr>
          <w:ilvl w:val="0"/>
          <w:numId w:val="1010"/>
        </w:numPr>
      </w:pPr>
      <w:r>
        <w:rPr>
          <w:rFonts w:ascii="Arial" w:hAnsi="Arial" w:cs="Arial"/>
        </w:rPr>
        <w:t xml:space="preserve">Reasoning chain format: DAOTONG Reasoning Chain Standard v1.0</w:t>
      </w:r>
    </w:p>
    <w:p>
      <w:pPr>
        <w:numPr>
          <w:ilvl w:val="0"/>
          <w:numId w:val="1010"/>
        </w:numPr>
      </w:pPr>
      <w:r>
        <w:rPr>
          <w:rFonts w:ascii="Arial" w:hAnsi="Arial" w:cs="Arial"/>
        </w:rPr>
        <w:t xml:space="preserve">Confidence scoring: 0.00–1.00; cases scoring below 0.60 are automatically escalated to Category 3 processing</w:t>
      </w:r>
    </w:p>
    <w:p>
      <w:pPr>
        <w:numPr>
          <w:ilvl w:val="0"/>
          <w:numId w:val="1010"/>
        </w:numPr>
      </w:pPr>
      <w:r>
        <w:rPr>
          <w:rFonts w:ascii="Arial" w:hAnsi="Arial" w:cs="Arial"/>
        </w:rPr>
        <w:t xml:space="preserve">Case precedent search scope: Similar cases from the past 10 years</w:t>
      </w:r>
    </w:p>
    <w:p>
      <w:pPr>
        <w:numPr>
          <w:ilvl w:val="0"/>
          <w:numId w:val="1010"/>
        </w:numPr>
      </w:pPr>
      <w:r>
        <w:rPr>
          <w:rFonts w:ascii="Arial" w:hAnsi="Arial" w:cs="Arial"/>
        </w:rPr>
        <w:t xml:space="preserve">Verdict generation time limit: 3 business days</w:t>
      </w:r>
    </w:p>
    <w:p>
      <w:pPr>
        <w:pStyle w:val="FirstParagraph"/>
      </w:pPr>
      <w:r>
        <w:rPr>
          <w:rFonts w:ascii="Arial" w:hAnsi="Arial" w:cs="Arial"/>
          <w:b/>
        </w:rPr>
        <w:t xml:space="preserve">3.5 Jury Confirmation → Random Selection</w:t>
      </w:r>
    </w:p>
    <w:p>
      <w:pPr>
        <w:pStyle w:val="BodyText"/>
      </w:pPr>
      <w:r>
        <w:rPr>
          <w:rFonts w:ascii="Arial" w:hAnsi="Arial" w:cs="Arial"/>
          <w:b/>
        </w:rPr>
        <w:t xml:space="preserve">3.5.1 Process Description</w:t>
      </w:r>
    </w:p>
    <w:p>
      <w:pPr>
        <w:pStyle w:val="BodyText"/>
      </w:pPr>
      <w:r>
        <w:rPr>
          <w:rFonts w:ascii="Arial" w:hAnsi="Arial" w:cs="Arial"/>
        </w:rPr>
        <w:t xml:space="preserve">The AI-generated draft verdict is submitted to a randomly selected 5-person jury for confirmation. Jury members are selected through a verifiable random selection algorithm from a pool of qualified citizens; the selection process is open and verifiable. The jury reviews the AI’s draft verdict and reasoning chain in an isolated environment, deliberates, and votes. The jury has three choices: accept the draft verdict (simple majority), modify the draft verdict (requires two-thirds majority), or reject the draft verdict (requires unanimous consent). If the draft verdict is rejected, the case automatically enters the human judge trial process.</w:t>
      </w:r>
    </w:p>
    <w:p>
      <w:pPr>
        <w:pStyle w:val="BodyText"/>
      </w:pPr>
      <w:r>
        <w:rPr>
          <w:rFonts w:ascii="Arial" w:hAnsi="Arial" w:cs="Arial"/>
          <w:b/>
        </w:rPr>
        <w:t xml:space="preserve">3.5.2 Technical Protocols</w:t>
      </w:r>
    </w:p>
    <w:p>
      <w:pPr>
        <w:numPr>
          <w:ilvl w:val="0"/>
          <w:numId w:val="1011"/>
        </w:numPr>
      </w:pPr>
      <w:r>
        <w:rPr>
          <w:rFonts w:ascii="Arial" w:hAnsi="Arial" w:cs="Arial"/>
        </w:rPr>
        <w:t xml:space="preserve">Jury size: 5 persons</w:t>
      </w:r>
    </w:p>
    <w:p>
      <w:pPr>
        <w:numPr>
          <w:ilvl w:val="0"/>
          <w:numId w:val="1011"/>
        </w:numPr>
      </w:pPr>
      <w:r>
        <w:rPr>
          <w:rFonts w:ascii="Arial" w:hAnsi="Arial" w:cs="Arial"/>
        </w:rPr>
        <w:t xml:space="preserve">Selection algorithm: Verifiable Random Function (VRF)</w:t>
      </w:r>
    </w:p>
    <w:p>
      <w:pPr>
        <w:numPr>
          <w:ilvl w:val="0"/>
          <w:numId w:val="1011"/>
        </w:numPr>
      </w:pPr>
      <w:r>
        <w:rPr>
          <w:rFonts w:ascii="Arial" w:hAnsi="Arial" w:cs="Arial"/>
        </w:rPr>
        <w:t xml:space="preserve">Conflict of interest filtering: Automatic detection of juror connections to parties involved</w:t>
      </w:r>
    </w:p>
    <w:p>
      <w:pPr>
        <w:numPr>
          <w:ilvl w:val="0"/>
          <w:numId w:val="1011"/>
        </w:numPr>
      </w:pPr>
      <w:r>
        <w:rPr>
          <w:rFonts w:ascii="Arial" w:hAnsi="Arial" w:cs="Arial"/>
        </w:rPr>
        <w:t xml:space="preserve">Deliberation time limit: 3 business days</w:t>
      </w:r>
    </w:p>
    <w:p>
      <w:pPr>
        <w:numPr>
          <w:ilvl w:val="0"/>
          <w:numId w:val="1011"/>
        </w:numPr>
      </w:pPr>
      <w:r>
        <w:rPr>
          <w:rFonts w:ascii="Arial" w:hAnsi="Arial" w:cs="Arial"/>
        </w:rPr>
        <w:t xml:space="preserve">Voting protocol: Anonymous voting + Zero-Knowledge Proof</w:t>
      </w:r>
    </w:p>
    <w:p>
      <w:pPr>
        <w:pStyle w:val="FirstParagraph"/>
      </w:pPr>
      <w:r>
        <w:rPr>
          <w:rFonts w:ascii="Arial" w:hAnsi="Arial" w:cs="Arial"/>
          <w:b/>
        </w:rPr>
        <w:t xml:space="preserve">3.6 Execution → On-Chain</w:t>
      </w:r>
    </w:p>
    <w:p>
      <w:pPr>
        <w:pStyle w:val="BodyText"/>
      </w:pPr>
      <w:r>
        <w:rPr>
          <w:rFonts w:ascii="Arial" w:hAnsi="Arial" w:cs="Arial"/>
          <w:b/>
        </w:rPr>
        <w:t xml:space="preserve">3.6.1 Process Description</w:t>
      </w:r>
    </w:p>
    <w:p>
      <w:pPr>
        <w:pStyle w:val="BodyText"/>
      </w:pPr>
      <w:r>
        <w:rPr>
          <w:rFonts w:ascii="Arial" w:hAnsi="Arial" w:cs="Arial"/>
        </w:rPr>
        <w:t xml:space="preserve">After the verdict is confirmed by the jury, the case enters the execution stage. Execution adopts an on-chain automation mechanism—the verdict result is encoded as a Smart Contract, automatically executing property transfer, behavioral restrictions, and other verdict contents. The advantages of on-chain execution are: non-refusable—the losing party cannot evade execution through delay or concealment of assets; traceable—the execution process is completely transparent, anyone can verify the execution result; auditable—execution records are permanently stored on-chain, providing basis for subsequent audits.</w:t>
      </w:r>
    </w:p>
    <w:p>
      <w:pPr>
        <w:pStyle w:val="BodyText"/>
      </w:pPr>
      <w:r>
        <w:rPr>
          <w:rFonts w:ascii="Arial" w:hAnsi="Arial" w:cs="Arial"/>
          <w:b/>
        </w:rPr>
        <w:t xml:space="preserve">3.6.2 Technical Protocols</w:t>
      </w:r>
    </w:p>
    <w:p>
      <w:pPr>
        <w:numPr>
          <w:ilvl w:val="0"/>
          <w:numId w:val="1012"/>
        </w:numPr>
      </w:pPr>
      <w:r>
        <w:rPr>
          <w:rFonts w:ascii="Arial" w:hAnsi="Arial" w:cs="Arial"/>
        </w:rPr>
        <w:t xml:space="preserve">Execution engine: DAOTONG on-chain Smart Contract</w:t>
      </w:r>
    </w:p>
    <w:p>
      <w:pPr>
        <w:numPr>
          <w:ilvl w:val="0"/>
          <w:numId w:val="1012"/>
        </w:numPr>
      </w:pPr>
      <w:r>
        <w:rPr>
          <w:rFonts w:ascii="Arial" w:hAnsi="Arial" w:cs="Arial"/>
        </w:rPr>
        <w:t xml:space="preserve">Execution confirmation: Takes effect after 6 block confirmations (approximately 30 minutes)</w:t>
      </w:r>
    </w:p>
    <w:p>
      <w:pPr>
        <w:numPr>
          <w:ilvl w:val="0"/>
          <w:numId w:val="1012"/>
        </w:numPr>
      </w:pPr>
      <w:r>
        <w:rPr>
          <w:rFonts w:ascii="Arial" w:hAnsi="Arial" w:cs="Arial"/>
        </w:rPr>
        <w:t xml:space="preserve">Execution objection period: 7 days (suspension of execution may be applied for)</w:t>
      </w:r>
    </w:p>
    <w:p>
      <w:pPr>
        <w:numPr>
          <w:ilvl w:val="0"/>
          <w:numId w:val="1012"/>
        </w:numPr>
      </w:pPr>
      <w:r>
        <w:rPr>
          <w:rFonts w:ascii="Arial" w:hAnsi="Arial" w:cs="Arial"/>
        </w:rPr>
        <w:t xml:space="preserve">Execution completion notification: Automatically pushed to all registered devices of the parties involved</w:t>
      </w:r>
    </w:p>
    <w:p>
      <w:pPr>
        <w:pStyle w:val="FirstParagraph"/>
      </w:pPr>
      <w:r>
        <w:rPr>
          <w:rFonts w:ascii="Arial" w:hAnsi="Arial" w:cs="Arial"/>
          <w:b/>
        </w:rPr>
        <w:t xml:space="preserve">3.7 Lifecycle Overview</w:t>
      </w:r>
    </w:p>
    <w:tbl>
      <w:tblPr>
        <w:tblStyle w:val="Table"/>
        <w:tblW w:type="pct" w:w="5000.0"/>
        <w:tblLook w:firstRow="0"/>
      </w:tblPr>
      <w:tblGrid>
        <w:gridCol w:w="931"/>
        <w:gridCol w:w="1956"/>
        <w:gridCol w:w="1304"/>
        <w:gridCol w:w="1677"/>
        <w:gridCol w:w="931"/>
        <w:gridCol w:w="1118"/>
      </w:tblGrid>
      <w:tr>
        <w:tc>
          <w:p>
            <w:pPr>
              <w:pStyle w:val="Compact"/>
              <w:jc w:val="left"/>
            </w:pPr>
            <w:r>
              <w:rPr>
                <w:rFonts w:ascii="Arial" w:hAnsi="Arial" w:cs="Arial"/>
                <w:b/>
              </w:rPr>
              <w:t xml:space="preserve">Stage</w:t>
            </w:r>
          </w:p>
        </w:tc>
        <w:tc>
          <w:p>
            <w:pPr>
              <w:pStyle w:val="Compact"/>
              <w:jc w:val="left"/>
            </w:pPr>
            <w:r>
              <w:rPr>
                <w:rFonts w:ascii="Arial" w:hAnsi="Arial" w:cs="Arial"/>
                <w:b/>
              </w:rPr>
              <w:t xml:space="preserve">Core Action</w:t>
            </w:r>
          </w:p>
        </w:tc>
        <w:tc>
          <w:p>
            <w:pPr>
              <w:pStyle w:val="Compact"/>
              <w:jc w:val="left"/>
            </w:pPr>
            <w:r>
              <w:rPr>
                <w:rFonts w:ascii="Arial" w:hAnsi="Arial" w:cs="Arial"/>
                <w:b/>
              </w:rPr>
              <w:t xml:space="preserve">Responsible Party</w:t>
            </w:r>
          </w:p>
        </w:tc>
        <w:tc>
          <w:p>
            <w:pPr>
              <w:pStyle w:val="Compact"/>
              <w:jc w:val="left"/>
            </w:pPr>
            <w:r>
              <w:rPr>
                <w:rFonts w:ascii="Arial" w:hAnsi="Arial" w:cs="Arial"/>
                <w:b/>
              </w:rPr>
              <w:t xml:space="preserve">Technical Protocol</w:t>
            </w:r>
          </w:p>
        </w:tc>
        <w:tc>
          <w:p>
            <w:pPr>
              <w:pStyle w:val="Compact"/>
              <w:jc w:val="left"/>
            </w:pPr>
            <w:r>
              <w:rPr>
                <w:rFonts w:ascii="Arial" w:hAnsi="Arial" w:cs="Arial"/>
                <w:b/>
              </w:rPr>
              <w:t xml:space="preserve">Time Limit</w:t>
            </w:r>
          </w:p>
        </w:tc>
        <w:tc>
          <w:p>
            <w:pPr>
              <w:pStyle w:val="Compact"/>
              <w:jc w:val="left"/>
            </w:pPr>
            <w:r>
              <w:rPr>
                <w:rFonts w:ascii="Arial" w:hAnsi="Arial" w:cs="Arial"/>
                <w:b/>
              </w:rPr>
              <w:t xml:space="preserve">Output</w:t>
            </w:r>
          </w:p>
        </w:tc>
      </w:tr>
      <w:tr>
        <w:tc>
          <w:p>
            <w:pPr>
              <w:pStyle w:val="Compact"/>
              <w:jc w:val="left"/>
            </w:pPr>
            <w:r>
              <w:rPr>
                <w:rFonts w:ascii="Arial" w:hAnsi="Arial" w:cs="Arial"/>
              </w:rPr>
              <w:t xml:space="preserve">1. Filing</w:t>
            </w:r>
          </w:p>
        </w:tc>
        <w:tc>
          <w:p>
            <w:pPr>
              <w:pStyle w:val="Compact"/>
              <w:jc w:val="left"/>
            </w:pPr>
            <w:r>
              <w:rPr>
                <w:rFonts w:ascii="Arial" w:hAnsi="Arial" w:cs="Arial"/>
              </w:rPr>
              <w:t xml:space="preserve">ID Verification + Formal Review</w:t>
            </w:r>
          </w:p>
        </w:tc>
        <w:tc>
          <w:p>
            <w:pPr>
              <w:pStyle w:val="Compact"/>
              <w:jc w:val="left"/>
            </w:pPr>
            <w:r>
              <w:rPr>
                <w:rFonts w:ascii="Arial" w:hAnsi="Arial" w:cs="Arial"/>
              </w:rPr>
              <w:t xml:space="preserve">AI System</w:t>
            </w:r>
          </w:p>
        </w:tc>
        <w:tc>
          <w:p>
            <w:pPr>
              <w:pStyle w:val="Compact"/>
              <w:jc w:val="left"/>
            </w:pPr>
            <w:r>
              <w:rPr>
                <w:rFonts w:ascii="Arial" w:hAnsi="Arial" w:cs="Arial"/>
              </w:rPr>
              <w:t xml:space="preserve">W3C DID + Biometrics</w:t>
            </w:r>
          </w:p>
        </w:tc>
        <w:tc>
          <w:p>
            <w:pPr>
              <w:pStyle w:val="Compact"/>
              <w:jc w:val="left"/>
            </w:pPr>
            <w:r>
              <w:rPr>
                <w:rFonts w:ascii="Arial" w:hAnsi="Arial" w:cs="Arial"/>
              </w:rPr>
              <w:t xml:space="preserve">1 day</w:t>
            </w:r>
          </w:p>
        </w:tc>
        <w:tc>
          <w:p>
            <w:pPr>
              <w:pStyle w:val="Compact"/>
              <w:jc w:val="left"/>
            </w:pPr>
            <w:r>
              <w:rPr>
                <w:rFonts w:ascii="Arial" w:hAnsi="Arial" w:cs="Arial"/>
              </w:rPr>
              <w:t xml:space="preserve">Case ID</w:t>
            </w:r>
          </w:p>
        </w:tc>
      </w:tr>
      <w:tr>
        <w:tc>
          <w:p>
            <w:pPr>
              <w:pStyle w:val="Compact"/>
              <w:jc w:val="left"/>
            </w:pPr>
            <w:r>
              <w:rPr>
                <w:rFonts w:ascii="Arial" w:hAnsi="Arial" w:cs="Arial"/>
              </w:rPr>
              <w:t xml:space="preserve">2. Evidence</w:t>
            </w:r>
          </w:p>
        </w:tc>
        <w:tc>
          <w:p>
            <w:pPr>
              <w:pStyle w:val="Compact"/>
              <w:jc w:val="left"/>
            </w:pPr>
            <w:r>
              <w:rPr>
                <w:rFonts w:ascii="Arial" w:hAnsi="Arial" w:cs="Arial"/>
              </w:rPr>
              <w:t xml:space="preserve">Automatic Collection + Hash Fixation</w:t>
            </w:r>
          </w:p>
        </w:tc>
        <w:tc>
          <w:p>
            <w:pPr>
              <w:pStyle w:val="Compact"/>
              <w:jc w:val="left"/>
            </w:pPr>
            <w:r>
              <w:rPr>
                <w:rFonts w:ascii="Arial" w:hAnsi="Arial" w:cs="Arial"/>
              </w:rPr>
              <w:t xml:space="preserve">AI System</w:t>
            </w:r>
          </w:p>
        </w:tc>
        <w:tc>
          <w:p>
            <w:pPr>
              <w:pStyle w:val="Compact"/>
              <w:jc w:val="left"/>
            </w:pPr>
            <w:r>
              <w:rPr>
                <w:rFonts w:ascii="Arial" w:hAnsi="Arial" w:cs="Arial"/>
              </w:rPr>
              <w:t xml:space="preserve">SHA-256 + Timestamp</w:t>
            </w:r>
          </w:p>
        </w:tc>
        <w:tc>
          <w:p>
            <w:pPr>
              <w:pStyle w:val="Compact"/>
              <w:jc w:val="left"/>
            </w:pPr>
            <w:r>
              <w:rPr>
                <w:rFonts w:ascii="Arial" w:hAnsi="Arial" w:cs="Arial"/>
              </w:rPr>
              <w:t xml:space="preserve">7 days</w:t>
            </w:r>
          </w:p>
        </w:tc>
        <w:tc>
          <w:p>
            <w:pPr>
              <w:pStyle w:val="Compact"/>
              <w:jc w:val="left"/>
            </w:pPr>
            <w:r>
              <w:rPr>
                <w:rFonts w:ascii="Arial" w:hAnsi="Arial" w:cs="Arial"/>
              </w:rPr>
              <w:t xml:space="preserve">Evidence Package</w:t>
            </w:r>
          </w:p>
        </w:tc>
      </w:tr>
      <w:tr>
        <w:tc>
          <w:p>
            <w:pPr>
              <w:pStyle w:val="Compact"/>
              <w:jc w:val="left"/>
            </w:pPr>
            <w:r>
              <w:rPr>
                <w:rFonts w:ascii="Arial" w:hAnsi="Arial" w:cs="Arial"/>
              </w:rPr>
              <w:t xml:space="preserve">3. Verification</w:t>
            </w:r>
          </w:p>
        </w:tc>
        <w:tc>
          <w:p>
            <w:pPr>
              <w:pStyle w:val="Compact"/>
              <w:jc w:val="left"/>
            </w:pPr>
            <w:r>
              <w:rPr>
                <w:rFonts w:ascii="Arial" w:hAnsi="Arial" w:cs="Arial"/>
              </w:rPr>
              <w:t xml:space="preserve">Cross-Reference + Credibility Assessment</w:t>
            </w:r>
          </w:p>
        </w:tc>
        <w:tc>
          <w:p>
            <w:pPr>
              <w:pStyle w:val="Compact"/>
              <w:jc w:val="left"/>
            </w:pPr>
            <w:r>
              <w:rPr>
                <w:rFonts w:ascii="Arial" w:hAnsi="Arial" w:cs="Arial"/>
              </w:rPr>
              <w:t xml:space="preserve">AI System</w:t>
            </w:r>
          </w:p>
        </w:tc>
        <w:tc>
          <w:p>
            <w:pPr>
              <w:pStyle w:val="Compact"/>
              <w:jc w:val="left"/>
            </w:pPr>
            <w:r>
              <w:rPr>
                <w:rFonts w:ascii="Arial" w:hAnsi="Arial" w:cs="Arial"/>
              </w:rPr>
              <w:t xml:space="preserve">MSCVP Protocol</w:t>
            </w:r>
          </w:p>
        </w:tc>
        <w:tc>
          <w:p>
            <w:pPr>
              <w:pStyle w:val="Compact"/>
              <w:jc w:val="left"/>
            </w:pPr>
            <w:r>
              <w:rPr>
                <w:rFonts w:ascii="Arial" w:hAnsi="Arial" w:cs="Arial"/>
              </w:rPr>
              <w:t xml:space="preserve">5 days</w:t>
            </w:r>
          </w:p>
        </w:tc>
        <w:tc>
          <w:p>
            <w:pPr>
              <w:pStyle w:val="Compact"/>
              <w:jc w:val="left"/>
            </w:pPr>
            <w:r>
              <w:rPr>
                <w:rFonts w:ascii="Arial" w:hAnsi="Arial" w:cs="Arial"/>
              </w:rPr>
              <w:t xml:space="preserve">Credibility Report</w:t>
            </w:r>
          </w:p>
        </w:tc>
      </w:tr>
      <w:tr>
        <w:tc>
          <w:p>
            <w:pPr>
              <w:pStyle w:val="Compact"/>
              <w:jc w:val="left"/>
            </w:pPr>
            <w:r>
              <w:rPr>
                <w:rFonts w:ascii="Arial" w:hAnsi="Arial" w:cs="Arial"/>
              </w:rPr>
              <w:t xml:space="preserve">4. Verdict</w:t>
            </w:r>
          </w:p>
        </w:tc>
        <w:tc>
          <w:p>
            <w:pPr>
              <w:pStyle w:val="Compact"/>
              <w:jc w:val="left"/>
            </w:pPr>
            <w:r>
              <w:rPr>
                <w:rFonts w:ascii="Arial" w:hAnsi="Arial" w:cs="Arial"/>
              </w:rPr>
              <w:t xml:space="preserve">Reasoning Chain Generation + Confidence</w:t>
            </w:r>
          </w:p>
        </w:tc>
        <w:tc>
          <w:p>
            <w:pPr>
              <w:pStyle w:val="Compact"/>
              <w:jc w:val="left"/>
            </w:pPr>
            <w:r>
              <w:rPr>
                <w:rFonts w:ascii="Arial" w:hAnsi="Arial" w:cs="Arial"/>
              </w:rPr>
              <w:t xml:space="preserve">AI System</w:t>
            </w:r>
          </w:p>
        </w:tc>
        <w:tc>
          <w:p>
            <w:pPr>
              <w:pStyle w:val="Compact"/>
              <w:jc w:val="left"/>
            </w:pPr>
            <w:r>
              <w:rPr>
                <w:rFonts w:ascii="Arial" w:hAnsi="Arial" w:cs="Arial"/>
              </w:rPr>
              <w:t xml:space="preserve">RCS v1.0</w:t>
            </w:r>
          </w:p>
        </w:tc>
        <w:tc>
          <w:p>
            <w:pPr>
              <w:pStyle w:val="Compact"/>
              <w:jc w:val="left"/>
            </w:pPr>
            <w:r>
              <w:rPr>
                <w:rFonts w:ascii="Arial" w:hAnsi="Arial" w:cs="Arial"/>
              </w:rPr>
              <w:t xml:space="preserve">3 days</w:t>
            </w:r>
          </w:p>
        </w:tc>
        <w:tc>
          <w:p>
            <w:pPr>
              <w:pStyle w:val="Compact"/>
              <w:jc w:val="left"/>
            </w:pPr>
            <w:r>
              <w:rPr>
                <w:rFonts w:ascii="Arial" w:hAnsi="Arial" w:cs="Arial"/>
              </w:rPr>
              <w:t xml:space="preserve">Draft Verdict</w:t>
            </w:r>
          </w:p>
        </w:tc>
      </w:tr>
      <w:tr>
        <w:tc>
          <w:p>
            <w:pPr>
              <w:pStyle w:val="Compact"/>
              <w:jc w:val="left"/>
            </w:pPr>
            <w:r>
              <w:rPr>
                <w:rFonts w:ascii="Arial" w:hAnsi="Arial" w:cs="Arial"/>
              </w:rPr>
              <w:t xml:space="preserve">5. Jury</w:t>
            </w:r>
          </w:p>
        </w:tc>
        <w:tc>
          <w:p>
            <w:pPr>
              <w:pStyle w:val="Compact"/>
              <w:jc w:val="left"/>
            </w:pPr>
            <w:r>
              <w:rPr>
                <w:rFonts w:ascii="Arial" w:hAnsi="Arial" w:cs="Arial"/>
              </w:rPr>
              <w:t xml:space="preserve">Deliberation + Anonymous Voting</w:t>
            </w:r>
          </w:p>
        </w:tc>
        <w:tc>
          <w:p>
            <w:pPr>
              <w:pStyle w:val="Compact"/>
              <w:jc w:val="left"/>
            </w:pPr>
            <w:r>
              <w:rPr>
                <w:rFonts w:ascii="Arial" w:hAnsi="Arial" w:cs="Arial"/>
              </w:rPr>
              <w:t xml:space="preserve">Jury</w:t>
            </w:r>
          </w:p>
        </w:tc>
        <w:tc>
          <w:p>
            <w:pPr>
              <w:pStyle w:val="Compact"/>
              <w:jc w:val="left"/>
            </w:pPr>
            <w:r>
              <w:rPr>
                <w:rFonts w:ascii="Arial" w:hAnsi="Arial" w:cs="Arial"/>
              </w:rPr>
              <w:t xml:space="preserve">VRF + ZKP</w:t>
            </w:r>
          </w:p>
        </w:tc>
        <w:tc>
          <w:p>
            <w:pPr>
              <w:pStyle w:val="Compact"/>
              <w:jc w:val="left"/>
            </w:pPr>
            <w:r>
              <w:rPr>
                <w:rFonts w:ascii="Arial" w:hAnsi="Arial" w:cs="Arial"/>
              </w:rPr>
              <w:t xml:space="preserve">3 days</w:t>
            </w:r>
          </w:p>
        </w:tc>
        <w:tc>
          <w:p>
            <w:pPr>
              <w:pStyle w:val="Compact"/>
              <w:jc w:val="left"/>
            </w:pPr>
            <w:r>
              <w:rPr>
                <w:rFonts w:ascii="Arial" w:hAnsi="Arial" w:cs="Arial"/>
              </w:rPr>
              <w:t xml:space="preserve">Verdict Document</w:t>
            </w:r>
          </w:p>
        </w:tc>
      </w:tr>
      <w:tr>
        <w:tc>
          <w:p>
            <w:pPr>
              <w:pStyle w:val="Compact"/>
              <w:jc w:val="left"/>
            </w:pPr>
            <w:r>
              <w:rPr>
                <w:rFonts w:ascii="Arial" w:hAnsi="Arial" w:cs="Arial"/>
              </w:rPr>
              <w:t xml:space="preserve">6. Execution</w:t>
            </w:r>
          </w:p>
        </w:tc>
        <w:tc>
          <w:p>
            <w:pPr>
              <w:pStyle w:val="Compact"/>
              <w:jc w:val="left"/>
            </w:pPr>
            <w:r>
              <w:rPr>
                <w:rFonts w:ascii="Arial" w:hAnsi="Arial" w:cs="Arial"/>
              </w:rPr>
              <w:t xml:space="preserve">On-chain Smart Contract</w:t>
            </w:r>
          </w:p>
        </w:tc>
        <w:tc>
          <w:p>
            <w:pPr>
              <w:pStyle w:val="Compact"/>
              <w:jc w:val="left"/>
            </w:pPr>
            <w:r>
              <w:rPr>
                <w:rFonts w:ascii="Arial" w:hAnsi="Arial" w:cs="Arial"/>
              </w:rPr>
              <w:t xml:space="preserve">Execution Engine</w:t>
            </w:r>
          </w:p>
        </w:tc>
        <w:tc>
          <w:p>
            <w:pPr>
              <w:pStyle w:val="Compact"/>
              <w:jc w:val="left"/>
            </w:pPr>
            <w:r>
              <w:rPr>
                <w:rFonts w:ascii="Arial" w:hAnsi="Arial" w:cs="Arial"/>
              </w:rPr>
              <w:t xml:space="preserve">On-chain Contract</w:t>
            </w:r>
          </w:p>
        </w:tc>
        <w:tc>
          <w:p>
            <w:pPr>
              <w:pStyle w:val="Compact"/>
              <w:jc w:val="left"/>
            </w:pPr>
            <w:r>
              <w:rPr>
                <w:rFonts w:ascii="Arial" w:hAnsi="Arial" w:cs="Arial"/>
              </w:rPr>
              <w:t xml:space="preserve">30 minutes</w:t>
            </w:r>
          </w:p>
        </w:tc>
        <w:tc>
          <w:p>
            <w:pPr>
              <w:pStyle w:val="Compact"/>
              <w:jc w:val="left"/>
            </w:pPr>
            <w:r>
              <w:rPr>
                <w:rFonts w:ascii="Arial" w:hAnsi="Arial" w:cs="Arial"/>
              </w:rPr>
              <w:t xml:space="preserve">Execution Confirmation</w:t>
            </w:r>
          </w:p>
        </w:tc>
      </w:tr>
    </w:tbl>
    <w:p>
      <w:pPr>
        <w:pStyle w:val="BodyText"/>
      </w:pPr>
      <w:r>
        <w:rPr>
          <w:rFonts w:ascii="Arial" w:hAnsi="Arial" w:cs="Arial"/>
          <w:b/>
        </w:rPr>
        <w:t xml:space="preserve">4. Evidence Collection Engine</w:t>
      </w:r>
    </w:p>
    <w:p>
      <w:pPr>
        <w:pStyle w:val="BodyText"/>
      </w:pPr>
      <w:r>
        <w:rPr>
          <w:rFonts w:ascii="Arial" w:hAnsi="Arial" w:cs="Arial"/>
        </w:rPr>
        <w:t>The evidence collection engine serves as the perception layer of the judicial system, responsible for efficiently and compliantly collecting case-related evidence from multiple data sources. It forms the factual foundation of the entire judicial process—if deviations or omissions occur during evidence collection, subsequent reasoning and adjudication will be built on an unreliable basis. Therefore, the design principle of the evidence collection engine is “comprehensive without overreach”—ensuring the collection of all relevant evidence while strictly adhering to the data minimization principle, refraining from collecting irrelevant data beyond the necessary scope.</w:t>
      </w:r>
    </w:p>
    <w:p>
      <w:pPr>
        <w:pStyle w:val="BodyText"/>
      </w:pPr>
      <w:r>
        <w:rPr>
          <w:rFonts w:ascii="Arial" w:hAnsi="Arial" w:cs="Arial"/>
          <w:b/>
        </w:rPr>
        <w:t xml:space="preserve">4.1 On-chain Digital Evidence</w:t>
      </w:r>
    </w:p>
    <w:p>
      <w:pPr>
        <w:pStyle w:val="BodyText"/>
      </w:pPr>
      <w:r>
        <w:rPr>
          <w:rFonts w:ascii="Arial" w:hAnsi="Arial" w:cs="Arial"/>
          <w:b/>
        </w:rPr>
        <w:t xml:space="preserve">4.1.1 Evidence Sources</w:t>
      </w:r>
    </w:p>
    <w:p>
      <w:pPr>
        <w:pStyle w:val="BodyText"/>
      </w:pPr>
      <w:r>
        <w:rPr>
          <w:rFonts w:ascii="Arial" w:hAnsi="Arial" w:cs="Arial"/>
        </w:rPr>
        <w:t xml:space="preserve">On-chain digital evidence is the most core evidence type in the DAOTONG judicial system. Since most economic activities in DAOTONG occur on-chain—including transactions, contract signatures, asset transfers, and governance voting—on-chain data inherently possesses immutability and temporal certainty, making it the most reliable source of digital evidence. Collection of on-chain evidence does not require special authorization from the parties, as on-chain data is essentially public. However, the system still adheres to the minimum necessity principle, collecting only on-chain data directly related to the case.</w:t>
      </w:r>
    </w:p>
    <w:p>
      <w:pPr>
        <w:pStyle w:val="BodyText"/>
      </w:pPr>
      <w:r>
        <w:rPr>
          <w:rFonts w:ascii="Arial" w:hAnsi="Arial" w:cs="Arial"/>
          <w:b/>
        </w:rPr>
        <w:t xml:space="preserve">4.1.2 Collection Protocol</w:t>
      </w:r>
    </w:p>
    <w:p>
      <w:pPr>
        <w:pStyle w:val="BodyText"/>
      </w:pPr>
      <w:r>
        <w:rPr>
          <w:rFonts w:ascii="Arial" w:hAnsi="Arial" w:cs="Arial"/>
        </w:rPr>
        <w:t>On-chain evidence collection follows a “three-step protocol”: Step one, case profiling generation—based on case filing information, generate keywords, time ranges, and address lists for the case; Step two, targeted scanning—scan records in the on-chain database matching the case profile; Step three, evidence package encapsulation—encapsulate scan results according to the DAOTONG Evidence Standard v2.0 format, with each record accompanied by block height, transaction hash, and confirmation count. The entire collection process executes in a sandbox environment to ensure no impact on external systems.</w:t>
      </w:r>
    </w:p>
    <w:p>
      <w:pPr>
        <w:pStyle w:val="BodyText"/>
      </w:pPr>
      <w:r>
        <w:rPr>
          <w:rFonts w:ascii="Arial" w:hAnsi="Arial" w:cs="Arial"/>
          <w:b/>
        </w:rPr>
        <w:t xml:space="preserve">4.2 Video Timeline Analysis</w:t>
      </w:r>
    </w:p>
    <w:p>
      <w:pPr>
        <w:pStyle w:val="BodyText"/>
      </w:pPr>
      <w:r>
        <w:rPr>
          <w:rFonts w:ascii="Arial" w:hAnsi="Arial" w:cs="Arial"/>
          <w:b/>
        </w:rPr>
        <w:t xml:space="preserve">4.2.1 Analysis Capabilities</w:t>
      </w:r>
    </w:p>
    <w:p>
      <w:pPr>
        <w:pStyle w:val="BodyText"/>
      </w:pPr>
      <w:r>
        <w:rPr>
          <w:rFonts w:ascii="Arial" w:hAnsi="Arial" w:cs="Arial"/>
        </w:rPr>
        <w:t xml:space="preserve">Video evidence is the most common and most difficult type of evidence to handle in judicial practice. Traditional video evidence review relies on manual frame-by-frame viewing, which is extremely inefficient and prone to missing key information. The video timeline analysis module of DAOTONG can: automatically extract key events and character appearance timestamps from videos; generate structured video timelines—marking the event type, involved characters, and duration for each critical moment; cross-video correlation—align and correlate timelines from multiple videos to construct a complete event timeline.</w:t>
      </w:r>
    </w:p>
    <w:p>
      <w:pPr>
        <w:pStyle w:val="BodyText"/>
      </w:pPr>
      <w:r>
        <w:rPr>
          <w:rFonts w:ascii="Arial" w:hAnsi="Arial" w:cs="Arial"/>
          <w:b/>
        </w:rPr>
        <w:t xml:space="preserve">4.2.2 Technical Implementation</w:t>
      </w:r>
    </w:p>
    <w:p>
      <w:pPr>
        <w:pStyle w:val="BodyText"/>
      </w:pPr>
      <w:r>
        <w:rPr>
          <w:rFonts w:ascii="Arial" w:hAnsi="Arial" w:cs="Arial"/>
        </w:rPr>
        <w:t>Video analysis adopts a “three-layer processing architecture”: The first layer is scene segmentation—automatically segment videos into clips based on scene changes, extracting keyframes for each clip; the second layer is event recognition—recognize event types for each clip (personnel entry/exit, item transfer, physical conflict, etc.), outputting structured event descriptions; the third layer is timeline construction—arrange events from all clips in chronological order to generate a complete video timeline. Analysis results contain no judgments about the nature of events (such as “assault” or “theft”), describing only observable facts (such as “A and B had physical contact” or “A picked up B’s item”), avoiding AI overstepping its authority in fact determination.</w:t>
      </w:r>
    </w:p>
    <w:p>
      <w:pPr>
        <w:pStyle w:val="BodyText"/>
      </w:pPr>
      <w:r>
        <w:rPr>
          <w:rFonts w:ascii="Arial" w:hAnsi="Arial" w:cs="Arial"/>
          <w:b/>
        </w:rPr>
        <w:t xml:space="preserve">4.3 Behavior Pattern Recognition</w:t>
      </w:r>
    </w:p>
    <w:p>
      <w:pPr>
        <w:pStyle w:val="BodyText"/>
      </w:pPr>
      <w:r>
        <w:rPr>
          <w:rFonts w:ascii="Arial" w:hAnsi="Arial" w:cs="Arial"/>
          <w:b/>
        </w:rPr>
        <w:t xml:space="preserve">4.3.1 Recognition Scope</w:t>
      </w:r>
    </w:p>
    <w:p>
      <w:pPr>
        <w:pStyle w:val="BodyText"/>
      </w:pPr>
      <w:r>
        <w:rPr>
          <w:rFonts w:ascii="Arial" w:hAnsi="Arial" w:cs="Arial"/>
        </w:rPr>
        <w:t>The behavior pattern recognition module is specifically designed to detect anomalous patterns in digital behavior, playing a critical role in fraud, money laundering, and fake transaction cases. This module can recognize the following behavior patterns: abnormal transaction frequency and amount patterns; capital flow patterns between associated accounts; abnormal login behavior patterns; fake review andBrushing orders patterns. Behavior pattern recognition results are output only as “suspicious pattern reports” and are not directly used as the basis for case determination—all pattern recognition results must undergo manual verification.</w:t>
      </w:r>
    </w:p>
    <w:p>
      <w:pPr>
        <w:pStyle w:val="BodyText"/>
      </w:pPr>
      <w:r>
        <w:rPr>
          <w:rFonts w:ascii="Arial" w:hAnsi="Arial" w:cs="Arial"/>
          <w:b/>
        </w:rPr>
        <w:t xml:space="preserve">4.3.2 Technical Implementation</w:t>
      </w:r>
    </w:p>
    <w:p>
      <w:pPr>
        <w:pStyle w:val="BodyText"/>
      </w:pPr>
      <w:r>
        <w:rPr>
          <w:rFonts w:ascii="Arial" w:hAnsi="Arial" w:cs="Arial"/>
        </w:rPr>
        <w:t>Behavior pattern recognition adopts a “dual-track system of rules and models”: the rules track detects known types of anomalous patterns based on predefined anomaly behavior rules (such as “the same account interacts with more than 5 new addresses within 1 hour”); the model track detects unknown anomalous patterns based on unsupervised learning models. Detection results from both tracks are merged, and after “deduplication + ranking,” a final suspicious pattern report is generated. The report format includes: pattern description, data involved, anomaly severity score (1-10), and recommended manual verification priorities.</w:t>
      </w:r>
    </w:p>
    <w:p>
      <w:pPr>
        <w:pStyle w:val="BodyText"/>
      </w:pPr>
      <w:r>
        <w:rPr>
          <w:rFonts w:ascii="Arial" w:hAnsi="Arial" w:cs="Arial"/>
          <w:b/>
        </w:rPr>
        <w:t xml:space="preserve">4.4 Multi-source Cross-validation</w:t>
      </w:r>
    </w:p>
    <w:p>
      <w:pPr>
        <w:pStyle w:val="BodyText"/>
      </w:pPr>
      <w:r>
        <w:rPr>
          <w:rFonts w:ascii="Arial" w:hAnsi="Arial" w:cs="Arial"/>
          <w:b/>
        </w:rPr>
        <w:t xml:space="preserve">4.4.1 Verification Methods</w:t>
      </w:r>
    </w:p>
    <w:p>
      <w:pPr>
        <w:pStyle w:val="BodyText"/>
      </w:pPr>
      <w:r>
        <w:rPr>
          <w:rFonts w:ascii="Arial" w:hAnsi="Arial" w:cs="Arial"/>
        </w:rPr>
        <w:t xml:space="preserve">Multi-source cross-validation is the final checkpoint for ensuring evidence reliability. This module cross-compares evidence from different sources to verify consistency among evidence. Verification methods include: timeline consistency—whether records of the same event from different sources match temporally (tolerance: 5 minutes); subject consistency—whether identity information for the same subject referred to by different sources is consistent; logical consistency—whether causal relationships between events are logically sound; quantity consistency—whether numerical information such as amounts and quantities match across different sources.</w:t>
      </w:r>
    </w:p>
    <w:p>
      <w:pPr>
        <w:pStyle w:val="BodyText"/>
      </w:pPr>
      <w:r>
        <w:rPr>
          <w:rFonts w:ascii="Arial" w:hAnsi="Arial" w:cs="Arial"/>
          <w:b/>
        </w:rPr>
        <w:t xml:space="preserve">4.4.2 Conflict Resolution</w:t>
      </w:r>
    </w:p>
    <w:p>
      <w:pPr>
        <w:pStyle w:val="BodyText"/>
      </w:pPr>
      <w:r>
        <w:rPr>
          <w:rFonts w:ascii="Arial" w:hAnsi="Arial" w:cs="Arial"/>
        </w:rPr>
        <w:t>When conflicts arise between evidence from different sources, the system employs a “credibility-weighted” approach: on-chain data has the highest credibility weight (1.0) due to its immutability; third-party certified data has the second-highest credibility weight (0.8); party self-reported data has the lowest credibility weight (0.5). Conflicting evidence is clearly marked in the report, with the final decision made by human decision-makers (judges or jury). The system does not automatically exclude any evidence—even low-credibility evidence is fully preserved but annotated with its credibility level for human decision-makers to reference.</w:t>
      </w:r>
    </w:p>
    <w:p>
      <w:pPr>
        <w:pStyle w:val="BodyText"/>
      </w:pPr>
      <w:r>
        <w:rPr>
          <w:rFonts w:ascii="Arial" w:hAnsi="Arial" w:cs="Arial"/>
          <w:b/>
        </w:rPr>
        <w:t xml:space="preserve">4.5 Hash Storage · Immutability</w:t>
      </w:r>
    </w:p>
    <w:p>
      <w:pPr>
        <w:pStyle w:val="BodyText"/>
      </w:pPr>
      <w:r>
        <w:rPr>
          <w:rFonts w:ascii="Arial" w:hAnsi="Arial" w:cs="Arial"/>
          <w:b/>
        </w:rPr>
        <w:t xml:space="preserve">4.5.1 Storage Architecture</w:t>
      </w:r>
    </w:p>
    <w:p>
      <w:pPr>
        <w:pStyle w:val="BodyText"/>
      </w:pPr>
      <w:r>
        <w:rPr>
          <w:rFonts w:ascii="Arial" w:hAnsi="Arial" w:cs="Arial"/>
        </w:rPr>
        <w:t>All evidence undergoes immediate hash solidification upon entering the system, ensuring evidence is not tampered with throughout the entire process from collection to use. The storage architecture adopts a “dual-layer hash” design: the first layer is individual evidence hash—each piece of evidence independently computes a SHA-256 hash value as its “digital fingerprint”; the second layer is evidence package hash—all evidence hashes for the same case are used as leaf nodes of a Merkle tree, computing a root hash value as the integrity checksum for the entire evidence package. Any modification to any piece of evidence will cause the Merkle root hash to change, enabling immediate detection.</w:t>
      </w:r>
    </w:p>
    <w:p>
      <w:pPr>
        <w:pStyle w:val="BodyText"/>
      </w:pPr>
      <w:r>
        <w:rPr>
          <w:rFonts w:ascii="Arial" w:hAnsi="Arial" w:cs="Arial"/>
          <w:b/>
        </w:rPr>
        <w:t xml:space="preserve">4.5.2 Integrity Verification</w:t>
      </w:r>
    </w:p>
    <w:p>
      <w:pPr>
        <w:pStyle w:val="BodyText"/>
      </w:pPr>
      <w:r>
        <w:rPr>
          <w:rFonts w:ascii="Arial" w:hAnsi="Arial" w:cs="Arial"/>
        </w:rPr>
        <w:t xml:space="preserve">Evidence integrity verification runs throughout the entire judicial process: collection phase—evidence is immediately hash-solidified upon entering the system; transmission phase—evidence hash consistency is verified during transmission between modules; usage phase—hash verification results are displayed when judges or jury review evidence; archival phase—after case conclusion, evidence is permanently stored with periodic hash verification. Upon verification failure, the system automatically issues an alert, triggering an integrity investigation procedure.</w:t>
      </w:r>
    </w:p>
    <w:p>
      <w:pPr>
        <w:pStyle w:val="BodyText"/>
      </w:pPr>
      <w:r>
        <w:rPr>
          <w:rFonts w:ascii="Arial" w:hAnsi="Arial" w:cs="Arial"/>
          <w:b/>
        </w:rPr>
        <w:t xml:space="preserve">5. Adjudication Reasoning Engine</w:t>
      </w:r>
    </w:p>
    <w:p>
      <w:pPr>
        <w:pStyle w:val="BodyText"/>
      </w:pPr>
      <w:r>
        <w:rPr>
          <w:rFonts w:ascii="Arial" w:hAnsi="Arial" w:cs="Arial"/>
        </w:rPr>
        <w:t>The adjudication reasoning engine serves as the “brain” of the judicial system, responsible for legal reasoning based on evidence and generating interpretable adjudication drafts. It is the most technologically complex subsystem of the judicial system and the module with the highest requirements for “interpretability” and “fairness.” The design principles of the adjudication reasoning engine are “reasoning traceable, conclusions challengeable, process reproducible”—every adjudication must include a complete reasoning chain, and any reasoning step can be independently reviewed and challenged.</w:t>
      </w:r>
    </w:p>
    <w:p>
      <w:pPr>
        <w:pStyle w:val="BodyText"/>
      </w:pPr>
      <w:r>
        <w:rPr>
          <w:rFonts w:ascii="Arial" w:hAnsi="Arial" w:cs="Arial"/>
          <w:b/>
        </w:rPr>
        <w:t xml:space="preserve">5.1 Legal Knowledge Graph</w:t>
      </w:r>
    </w:p>
    <w:p>
      <w:pPr>
        <w:pStyle w:val="BodyText"/>
      </w:pPr>
      <w:r>
        <w:rPr>
          <w:rFonts w:ascii="Arial" w:hAnsi="Arial" w:cs="Arial"/>
          <w:b/>
        </w:rPr>
        <w:t xml:space="preserve">5.1.1 Graph Structure</w:t>
      </w:r>
    </w:p>
    <w:p>
      <w:pPr>
        <w:pStyle w:val="BodyText"/>
      </w:pPr>
      <w:r>
        <w:rPr>
          <w:rFonts w:ascii="Arial" w:hAnsi="Arial" w:cs="Arial"/>
        </w:rPr>
        <w:t xml:space="preserve">The legal knowledge graph is the infrastructure for adjudication reasoning, encoding DAOTONG’s entire legal system into a structured knowledge graph. The graph contains three types of nodes: legal provision nodes (Constitution, laws, regulations, judicial interpretations), concept nodes (legal concepts, term definitions), and case nodes (summaries and key rulings of decided cases). Nodes are connected through multiple relationship types: citation relationships (citations between legal provisions), application relationships (application of legal provisions to cases), interpretation relationships (judicial interpretations of legal provisions), and similarity relationships (similarity between cases). The current graph contains approximately 12,000 legal provision nodes, 8,500 concept nodes, and 45,000 case nodes.</w:t>
      </w:r>
    </w:p>
    <w:p>
      <w:pPr>
        <w:pStyle w:val="BodyText"/>
      </w:pPr>
      <w:r>
        <w:rPr>
          <w:rFonts w:ascii="Arial" w:hAnsi="Arial" w:cs="Arial"/>
          <w:b/>
        </w:rPr>
        <w:t xml:space="preserve">5.1.2 Update Mechanism</w:t>
      </w:r>
    </w:p>
    <w:p>
      <w:pPr>
        <w:pStyle w:val="BodyText"/>
      </w:pPr>
      <w:r>
        <w:rPr>
          <w:rFonts w:ascii="Arial" w:hAnsi="Arial" w:cs="Arial"/>
        </w:rPr>
        <w:t>Updates to the legal knowledge graph are synchronized with the legislative process: new laws are entered within 48 hours of promulgation; legal revisions are automatically updated on the effective date; case nodes are added within 7 days after each adjudication takes effect. Each update to the graph generates a version snapshot, supporting retrospective queries—this means the system can “travel back” to any historical time point to view the state of the legal knowledge graph at that time, which is crucial for adjudicating cases that occurred before legal changes.</w:t>
      </w:r>
    </w:p>
    <w:p>
      <w:pPr>
        <w:pStyle w:val="BodyText"/>
      </w:pPr>
      <w:r>
        <w:rPr>
          <w:rFonts w:ascii="Arial" w:hAnsi="Arial" w:cs="Arial"/>
          <w:b/>
        </w:rPr>
        <w:t xml:space="preserve">5.2 Precedent Consistency Check</w:t>
      </w:r>
    </w:p>
    <w:p>
      <w:pPr>
        <w:pStyle w:val="BodyText"/>
      </w:pPr>
      <w:r>
        <w:rPr>
          <w:rFonts w:ascii="Arial" w:hAnsi="Arial" w:cs="Arial"/>
          <w:b/>
        </w:rPr>
        <w:t xml:space="preserve">5.2.1 Check Method</w:t>
      </w:r>
    </w:p>
    <w:p>
      <w:pPr>
        <w:pStyle w:val="BodyText"/>
      </w:pPr>
      <w:r>
        <w:rPr>
          <w:rFonts w:ascii="Arial" w:hAnsi="Arial" w:cs="Arial"/>
        </w:rPr>
        <w:t>Precedent consistency check is the core technical means for ensuring judicial fairness. Its basic logic is: similar cases should receive similar adjudication results. The check method is as follows: Step one, case retrieval—retrieve similar decided cases in the legal knowledge graph (similarity threshold &gt; 0.75); Step two, adjudication comparison—compare the current case’s adjudication draft with the adjudication results of retrieved similar cases; Step three, deviation assessment—if the adjudication draft significantly deviates from similar case adjudication results (exceeding the preset threshold), the system automatically generates a deviation report and marks it as “requires manual review.”</w:t>
      </w:r>
    </w:p>
    <w:p>
      <w:pPr>
        <w:pStyle w:val="BodyText"/>
      </w:pPr>
      <w:r>
        <w:rPr>
          <w:rFonts w:ascii="Arial" w:hAnsi="Arial" w:cs="Arial"/>
          <w:b/>
        </w:rPr>
        <w:t xml:space="preserve">5.2.2 Consistency Indicators</w:t>
      </w:r>
    </w:p>
    <w:p>
      <w:pPr>
        <w:numPr>
          <w:ilvl w:val="0"/>
          <w:numId w:val="1013"/>
        </w:numPr>
      </w:pPr>
      <w:r>
        <w:rPr>
          <w:rFonts w:ascii="Arial" w:hAnsi="Arial" w:cs="Arial"/>
        </w:rPr>
        <w:t xml:space="preserve">Case similarity algorithm: legal semantic embedding + factual element matching</w:t>
      </w:r>
    </w:p>
    <w:p>
      <w:pPr>
        <w:numPr>
          <w:ilvl w:val="0"/>
          <w:numId w:val="1013"/>
        </w:numPr>
      </w:pPr>
      <w:r>
        <w:rPr>
          <w:rFonts w:ascii="Arial" w:hAnsi="Arial" w:cs="Arial"/>
        </w:rPr>
        <w:t xml:space="preserve">Adjudication deviation threshold: adjudication differences for similar cases should not exceed 15%</w:t>
      </w:r>
    </w:p>
    <w:p>
      <w:pPr>
        <w:numPr>
          <w:ilvl w:val="0"/>
          <w:numId w:val="1013"/>
        </w:numPr>
      </w:pPr>
      <w:r>
        <w:rPr>
          <w:rFonts w:ascii="Arial" w:hAnsi="Arial" w:cs="Arial"/>
        </w:rPr>
        <w:t xml:space="preserve">Consistency score range: 0.00–1.00</w:t>
      </w:r>
    </w:p>
    <w:p>
      <w:pPr>
        <w:numPr>
          <w:ilvl w:val="0"/>
          <w:numId w:val="1013"/>
        </w:numPr>
      </w:pPr>
      <w:r>
        <w:rPr>
          <w:rFonts w:ascii="Arial" w:hAnsi="Arial" w:cs="Arial"/>
        </w:rPr>
        <w:t xml:space="preserve">Low-consistency case handling: cases with consistency scores &lt; 0.70 are automatically upgraded to higher-category handling</w:t>
      </w:r>
    </w:p>
    <w:p>
      <w:pPr>
        <w:numPr>
          <w:ilvl w:val="0"/>
          <w:numId w:val="1013"/>
        </w:numPr>
      </w:pPr>
      <w:r>
        <w:rPr>
          <w:rFonts w:ascii="Arial" w:hAnsi="Arial" w:cs="Arial"/>
        </w:rPr>
        <w:t xml:space="preserve">Historical consistency trend: quarterly statistics, target fluctuation range &lt; 5%</w:t>
      </w:r>
    </w:p>
    <w:p>
      <w:pPr>
        <w:pStyle w:val="FirstParagraph"/>
      </w:pPr>
      <w:r>
        <w:rPr>
          <w:rFonts w:ascii="Arial" w:hAnsi="Arial" w:cs="Arial"/>
          <w:b/>
        </w:rPr>
        <w:t xml:space="preserve">5.3 Ethical Weight Model</w:t>
      </w:r>
    </w:p>
    <w:p>
      <w:pPr>
        <w:pStyle w:val="BodyText"/>
      </w:pPr>
      <w:r>
        <w:rPr>
          <w:rFonts w:ascii="Arial" w:hAnsi="Arial" w:cs="Arial"/>
          <w:b/>
        </w:rPr>
        <w:t xml:space="preserve">5.3.1 Model Invocation</w:t>
      </w:r>
    </w:p>
    <w:p>
      <w:pPr>
        <w:pStyle w:val="BodyText"/>
      </w:pPr>
      <w:r>
        <w:rPr>
          <w:rFonts w:ascii="Arial" w:hAnsi="Arial" w:cs="Arial"/>
        </w:rPr>
        <w:t>When generating adjudication drafts, the adjudication reasoning engine must invoke the alignment system’s ethical weight model to ensure adjudication results are consistent with DAOTONG’s constitutional values. The ethical weight model is applied in adjudication reasoning as follows: the six constitutional values serve as “hard constraints” for adjudication—any adjudication plan violating constitutional values is automatically rejected; ethical weights serve as “soft constraints” for adjudication—within the legal scope, ethical weights influence the priority ranking among different adjudication plans. For example, when multiple legal adjudication plans are viable, the system prioritizes the plan that minimizes infringement on the party’s autonomy.</w:t>
      </w:r>
    </w:p>
    <w:p>
      <w:pPr>
        <w:pStyle w:val="BodyText"/>
      </w:pPr>
      <w:r>
        <w:rPr>
          <w:rFonts w:ascii="Arial" w:hAnsi="Arial" w:cs="Arial"/>
          <w:b/>
        </w:rPr>
        <w:t xml:space="preserve">5.3.2 Compliance Check</w:t>
      </w:r>
    </w:p>
    <w:p>
      <w:pPr>
        <w:pStyle w:val="BodyText"/>
      </w:pPr>
      <w:r>
        <w:rPr>
          <w:rFonts w:ascii="Arial" w:hAnsi="Arial" w:cs="Arial"/>
        </w:rPr>
        <w:t>Ethical compliance check is executed in the final stage of adjudication reasoning, serving as the “gatekeeper” for adjudication output. The check covers six constitutional values: dignity compliance—whether the adjudication objectifies or degrades any party; autonomy compliance—whether the adjudication unduly restricts the party’s legitimate choices; fairness compliance—whether the adjudication creates unreasonable differential treatment among different groups; transparency compliance—whether the adjudication can be fully explained; minimal harm compliance—whether the adjudication selects the least harmful option among viable alternatives; correctability compliance—whether the adjudication has a revocation path designed. If any check fails, the adjudication draft is returned for re-reasoning.</w:t>
      </w:r>
    </w:p>
    <w:p>
      <w:pPr>
        <w:pStyle w:val="BodyText"/>
      </w:pPr>
      <w:r>
        <w:rPr>
          <w:rFonts w:ascii="Arial" w:hAnsi="Arial" w:cs="Arial"/>
          <w:b/>
        </w:rPr>
        <w:t xml:space="preserve">5.4 Interpretable Reasoning Chain</w:t>
      </w:r>
    </w:p>
    <w:p>
      <w:pPr>
        <w:pStyle w:val="BodyText"/>
      </w:pPr>
      <w:r>
        <w:rPr>
          <w:rFonts w:ascii="Arial" w:hAnsi="Arial" w:cs="Arial"/>
          <w:b/>
        </w:rPr>
        <w:t xml:space="preserve">5.4.1 Reasoning Chain Structure</w:t>
      </w:r>
    </w:p>
    <w:p>
      <w:pPr>
        <w:pStyle w:val="BodyText"/>
      </w:pPr>
      <w:r>
        <w:rPr>
          <w:rFonts w:ascii="Arial" w:hAnsi="Arial" w:cs="Arial"/>
        </w:rPr>
        <w:t xml:space="preserve">The interpretable reasoning chain is the core output of the adjudication reasoning engine. Each reasoning chain is a structured record of the reasoning process, containing the following elements: case fact summary (key facts extracted from evidence, annotated with evidence sources and credibility levels), legal application steps (applicable legal provisions and their interpretations, annotated with positions in the legal knowledge graph), reasoning step sequence (each reasoning step from facts to conclusions, annotated with reasoning types and dependencies), alternative plan analysis (plans considered but not adopted and their rejection reasons), ethical compliance review results (compliance evaluation of six values), and final adjudication with confidence score.</w:t>
      </w:r>
    </w:p>
    <w:p>
      <w:pPr>
        <w:pStyle w:val="BodyText"/>
      </w:pPr>
      <w:r>
        <w:rPr>
          <w:rFonts w:ascii="Arial" w:hAnsi="Arial" w:cs="Arial"/>
          <w:b/>
        </w:rPr>
        <w:t xml:space="preserve">5.4.2 Interpretability Standards</w:t>
      </w:r>
    </w:p>
    <w:p>
      <w:pPr>
        <w:pStyle w:val="BodyText"/>
      </w:pPr>
      <w:r>
        <w:rPr>
          <w:rFonts w:ascii="Arial" w:hAnsi="Arial" w:cs="Arial"/>
        </w:rPr>
        <w:t>The interpretability of reasoning chains follows a “three-layer standard,” corresponding to the alignment system’s transparency standards: The first layer is the public summary—reasoning that can be understood by non-professionals (within 300 words); the second layer is professional analysis—complete reasoning process that can be understood by legal practitioners; the third layer is technical details—technical parameters that allow AI engineers to reproduce the process. Each layer has clear quality standards: public summary readability score &gt; 80 points (100-point scale), professional analysis completeness score &gt; 90 points, technical details reproducibility score &gt; 95 points.</w:t>
      </w:r>
    </w:p>
    <w:p>
      <w:pPr>
        <w:pStyle w:val="BodyText"/>
      </w:pPr>
      <w:r>
        <w:rPr>
          <w:rFonts w:ascii="Arial" w:hAnsi="Arial" w:cs="Arial"/>
          <w:b/>
        </w:rPr>
        <w:t xml:space="preserve">5.5 Confidence Score · Uncertainty Annotation</w:t>
      </w:r>
    </w:p>
    <w:p>
      <w:pPr>
        <w:pStyle w:val="BodyText"/>
      </w:pPr>
      <w:r>
        <w:rPr>
          <w:rFonts w:ascii="Arial" w:hAnsi="Arial" w:cs="Arial"/>
          <w:b/>
        </w:rPr>
        <w:t xml:space="preserve">5.5.1 Scoring Method</w:t>
      </w:r>
    </w:p>
    <w:p>
      <w:pPr>
        <w:pStyle w:val="BodyText"/>
      </w:pPr>
      <w:r>
        <w:rPr>
          <w:rFonts w:ascii="Arial" w:hAnsi="Arial" w:cs="Arial"/>
        </w:rPr>
        <w:t>The confidence score is the quantitative evaluation by the adjudication reasoning engine of the reliability of its own conclusions. The scoring adopts a “multi-dimensional weighting” method: evidence sufficiency dimension (weight 0.30)—evaluating whether evidence is sufficient to support the adjudication conclusion; legal clarity dimension (weight 0.25)—evaluating whether there is room for dispute in legal application; precedent consistency dimension (weight 0.20)—evaluating consistency between the adjudication and historical cases; factual certainty dimension (weight 0.15)—evaluating certainty of fact determination; ethical compliance dimension (weight 0.10)—evaluating value compliance of the adjudication. Each dimension scores 0–1, and the weighted sum yields the total confidence score.</w:t>
      </w:r>
    </w:p>
    <w:p>
      <w:pPr>
        <w:pStyle w:val="BodyText"/>
      </w:pPr>
      <w:r>
        <w:rPr>
          <w:rFonts w:ascii="Arial" w:hAnsi="Arial" w:cs="Arial"/>
          <w:b/>
        </w:rPr>
        <w:t xml:space="preserve">5.5.2 Uncertainty Handling</w:t>
      </w:r>
    </w:p>
    <w:p>
      <w:pPr>
        <w:pStyle w:val="BodyText"/>
      </w:pPr>
      <w:r>
        <w:rPr>
          <w:rFonts w:ascii="Arial" w:hAnsi="Arial" w:cs="Arial"/>
        </w:rPr>
        <w:t xml:space="preserve">The confidence score directly determines the case handling path: confidence ≥ 0.80, the case proceeds normally under the current category; confidence between 0.60–0.80, the case is automatically upgraded to a higher category (increasing human decision-maker participation); confidence &lt; 0.60, the case is directly upgraded to category 3 or category 4 handling, with AI providing only auxiliary analysis. Uncertainty annotations are also presented visually to human decision-makers—in adjudication documents, low-confidence reasoning steps are marked in yellow, and very low confidence is marked in red, helping human decision-makers focus on the most uncertain aspects.</w:t>
      </w:r>
    </w:p>
    <w:p>
      <w:pPr>
        <w:pStyle w:val="BodyText"/>
      </w:pPr>
      <w:r>
        <w:rPr>
          <w:rFonts w:ascii="Arial" w:hAnsi="Arial" w:cs="Arial"/>
          <w:b/>
        </w:rPr>
        <w:t xml:space="preserve">6. Random Jury System</w:t>
      </w:r>
    </w:p>
    <w:p>
      <w:pPr>
        <w:pStyle w:val="BodyText"/>
      </w:pPr>
      <w:r>
        <w:rPr>
          <w:rFonts w:ascii="Arial" w:hAnsi="Arial" w:cs="Arial"/>
        </w:rPr>
        <w:t xml:space="preserve">The random jury system is a critical mechanism in the judicial system for ensuring democratic participation and human judgment rights. In category 2 cases (commercial/labor), the jury bears the responsibility of adjudication confirmation; in category 4 cases (criminal), the jury participates in guilty/not guilty determinations. The design goals of the jury system are to ensure randomness, fairness, and anonymity in the jury process—no external force can manipulate the jury’s composition, influence the jury’s deliberation, or trace jurors’ votes.</w:t>
      </w:r>
    </w:p>
    <w:p>
      <w:pPr>
        <w:pStyle w:val="BodyText"/>
      </w:pPr>
      <w:r>
        <w:rPr>
          <w:rFonts w:ascii="Arial" w:hAnsi="Arial" w:cs="Arial"/>
          <w:b/>
        </w:rPr>
        <w:t xml:space="preserve">6.1 Verifiable Random Selection</w:t>
      </w:r>
    </w:p>
    <w:p>
      <w:pPr>
        <w:pStyle w:val="BodyText"/>
      </w:pPr>
      <w:r>
        <w:rPr>
          <w:rFonts w:ascii="Arial" w:hAnsi="Arial" w:cs="Arial"/>
          <w:b/>
        </w:rPr>
        <w:t xml:space="preserve">6.1.1 Selection Algorithm</w:t>
      </w:r>
    </w:p>
    <w:p>
      <w:pPr>
        <w:pStyle w:val="BodyText"/>
      </w:pPr>
      <w:r>
        <w:rPr>
          <w:rFonts w:ascii="Arial" w:hAnsi="Arial" w:cs="Arial"/>
        </w:rPr>
        <w:t xml:space="preserve">Jury selection adopts the Verifiable Random Function (VRF) algorithm. The core characteristics of VRF are: unpredictability of randomness—before the selection results are announced, no one can predict who will be selected; verifiability of randomness—after the selection results are announced, anyone can independently verify the randomness of the selection process. Specific implementation: the system uses the current block hash, case ID, and timestamp as VRF input seeds, computes VRF output, and selects jurors from the pool of qualified citizens based on the output value. The randomness of the entire process is cryptographically guaranteed, rather than relying on trust in any centralized institution.</w:t>
      </w:r>
    </w:p>
    <w:p>
      <w:pPr>
        <w:pStyle w:val="BodyText"/>
      </w:pPr>
      <w:r>
        <w:rPr>
          <w:rFonts w:ascii="Arial" w:hAnsi="Arial" w:cs="Arial"/>
          <w:b/>
        </w:rPr>
        <w:t xml:space="preserve">6.1.2 Citizen Pool Management</w:t>
      </w:r>
    </w:p>
    <w:p>
      <w:pPr>
        <w:pStyle w:val="BodyText"/>
      </w:pPr>
      <w:r>
        <w:rPr>
          <w:rFonts w:ascii="Arial" w:hAnsi="Arial" w:cs="Arial"/>
        </w:rPr>
        <w:t>The management of the qualified citizen pool follows the principle of “broad coverage + strict screening”: broad coverage—all DAOTONG citizens who are 18 years or older, have no criminal record, and have no cognitive impairment enter the candidate pool by default; strict screening—candidates must still pass automatic interest conflict filtering after being selected (see Section 6.2). The citizen pool is updated quarterly, with newly eligible citizens automatically added and those no longer meeting criteria automatically removed. The current citizen pool size is approximately 1.2 million, with the probability of selection per draw being approximately 1/240,000.</w:t>
      </w:r>
    </w:p>
    <w:p>
      <w:pPr>
        <w:pStyle w:val="BodyText"/>
      </w:pPr>
      <w:r>
        <w:rPr>
          <w:rFonts w:ascii="Arial" w:hAnsi="Arial" w:cs="Arial"/>
          <w:b/>
        </w:rPr>
        <w:t xml:space="preserve">6.2 Automatic Interest Conflict Filtering</w:t>
      </w:r>
    </w:p>
    <w:p>
      <w:pPr>
        <w:pStyle w:val="BodyText"/>
      </w:pPr>
      <w:r>
        <w:rPr>
          <w:rFonts w:ascii="Arial" w:hAnsi="Arial" w:cs="Arial"/>
          <w:b/>
        </w:rPr>
        <w:t xml:space="preserve">6.2.1 Filtering Rules</w:t>
      </w:r>
    </w:p>
    <w:p>
      <w:pPr>
        <w:pStyle w:val="BodyText"/>
      </w:pPr>
      <w:r>
        <w:rPr>
          <w:rFonts w:ascii="Arial" w:hAnsi="Arial" w:cs="Arial"/>
        </w:rPr>
        <w:t xml:space="preserve">Interest conflict filtering is the first line of defense for ensuring jury impartiality. The system automatically performs the following checks on each selected candidate juror: whether there is any economic connection with the case party (transaction records, joint investments, etc.); whether there is any social connection with the case party (communication records, social network connections, etc.); whether they have previously expressed opinions on similar cases (public comments, co-signatures, etc.); whether they have significant interests in the case-related field (holding shares in relevant enterprises, etc.). If any check reveals a potential conflict, that candidate automatically withdraws and the system re-selects to fill the vacancy.</w:t>
      </w:r>
    </w:p>
    <w:p>
      <w:pPr>
        <w:pStyle w:val="BodyText"/>
      </w:pPr>
      <w:r>
        <w:rPr>
          <w:rFonts w:ascii="Arial" w:hAnsi="Arial" w:cs="Arial"/>
          <w:b/>
        </w:rPr>
        <w:t xml:space="preserve">6.2.2 Technical Implementation</w:t>
      </w:r>
    </w:p>
    <w:p>
      <w:pPr>
        <w:pStyle w:val="BodyText"/>
      </w:pPr>
      <w:r>
        <w:rPr>
          <w:rFonts w:ascii="Arial" w:hAnsi="Arial" w:cs="Arial"/>
        </w:rPr>
        <w:t>Interest conflict filtering adopts a “dual on-chain and off-chain verification” mechanism: on-chain checks—analyze transaction and contract records between candidates and parties on-chain to detect direct economic connections; off-chain checks—through authorized queries of candidates’ social graphs and public expression records, detect indirect connections. All checks execute on candidates’ local devices (using secure multi-party computation protocols), with original privacy data not uploaded to servers, outputting only binary results of “pass/fail.” This ensures that interest conflict filtering does not violate candidates’ privacy rights.</w:t>
      </w:r>
    </w:p>
    <w:p>
      <w:pPr>
        <w:pStyle w:val="BodyText"/>
      </w:pPr>
      <w:r>
        <w:rPr>
          <w:rFonts w:ascii="Arial" w:hAnsi="Arial" w:cs="Arial"/>
          <w:b/>
        </w:rPr>
        <w:t xml:space="preserve">6.3 Anonymous Voting Protocol</w:t>
      </w:r>
    </w:p>
    <w:p>
      <w:pPr>
        <w:pStyle w:val="BodyText"/>
      </w:pPr>
      <w:r>
        <w:rPr>
          <w:rFonts w:ascii="Arial" w:hAnsi="Arial" w:cs="Arial"/>
          <w:b/>
        </w:rPr>
        <w:t xml:space="preserve">6.3.1 Protocol Design</w:t>
      </w:r>
    </w:p>
    <w:p>
      <w:pPr>
        <w:pStyle w:val="BodyText"/>
      </w:pPr>
      <w:r>
        <w:rPr>
          <w:rFonts w:ascii="Arial" w:hAnsi="Arial" w:cs="Arial"/>
        </w:rPr>
        <w:t>Jury voting adopts an anonymous voting protocol, ensuring the verifiability of voting results while protecting voters’ anonymity. The protocol is based on zero-knowledge proof technology: each juror generates a “vote commitment”—committing to their vote without exposing the vote content; after all commitments are collected, jurors separately submit “vote revelations”—revealing their votes and proving through zero-knowledge proof that the revelation is consistent with the commitment; the system aggregates all vote revelations and calculates the final result. Anyone can verify the correctness of the voting result, but no one can trace any individual ballot to a specific juror.</w:t>
      </w:r>
    </w:p>
    <w:p>
      <w:pPr>
        <w:pStyle w:val="BodyText"/>
      </w:pPr>
      <w:r>
        <w:rPr>
          <w:rFonts w:ascii="Arial" w:hAnsi="Arial" w:cs="Arial"/>
          <w:b/>
        </w:rPr>
        <w:t xml:space="preserve">6.3.2 Technical Parameters</w:t>
      </w:r>
    </w:p>
    <w:p>
      <w:pPr>
        <w:numPr>
          <w:ilvl w:val="0"/>
          <w:numId w:val="1014"/>
        </w:numPr>
      </w:pPr>
      <w:r>
        <w:rPr>
          <w:rFonts w:ascii="Arial" w:hAnsi="Arial" w:cs="Arial"/>
        </w:rPr>
        <w:t xml:space="preserve">Commitment algorithm: Pedersen commitment scheme</w:t>
      </w:r>
    </w:p>
    <w:p>
      <w:pPr>
        <w:numPr>
          <w:ilvl w:val="0"/>
          <w:numId w:val="1014"/>
        </w:numPr>
      </w:pPr>
      <w:r>
        <w:rPr>
          <w:rFonts w:ascii="Arial" w:hAnsi="Arial" w:cs="Arial"/>
        </w:rPr>
        <w:t xml:space="preserve">Zero-knowledge proof: zk-SNARKs (Groth16 scheme)</w:t>
      </w:r>
    </w:p>
    <w:p>
      <w:pPr>
        <w:numPr>
          <w:ilvl w:val="0"/>
          <w:numId w:val="1014"/>
        </w:numPr>
      </w:pPr>
      <w:r>
        <w:rPr>
          <w:rFonts w:ascii="Arial" w:hAnsi="Arial" w:cs="Arial"/>
        </w:rPr>
        <w:t xml:space="preserve">Voting options: accept/modify/reject</w:t>
      </w:r>
    </w:p>
    <w:p>
      <w:pPr>
        <w:numPr>
          <w:ilvl w:val="0"/>
          <w:numId w:val="1014"/>
        </w:numPr>
      </w:pPr>
      <w:r>
        <w:rPr>
          <w:rFonts w:ascii="Arial" w:hAnsi="Arial" w:cs="Arial"/>
        </w:rPr>
        <w:t xml:space="preserve">Voting deadline: last 24 hours of deliberation period</w:t>
      </w:r>
    </w:p>
    <w:p>
      <w:pPr>
        <w:numPr>
          <w:ilvl w:val="0"/>
          <w:numId w:val="1014"/>
        </w:numPr>
      </w:pPr>
      <w:r>
        <w:rPr>
          <w:rFonts w:ascii="Arial" w:hAnsi="Arial" w:cs="Arial"/>
        </w:rPr>
        <w:t xml:space="preserve">Result confirmation: simple majority (accept) / two-thirds (modify) / unanimous (reject)</w:t>
      </w:r>
    </w:p>
    <w:p>
      <w:pPr>
        <w:pStyle w:val="FirstParagraph"/>
      </w:pPr>
      <w:r>
        <w:rPr>
          <w:rFonts w:ascii="Arial" w:hAnsi="Arial" w:cs="Arial"/>
          <w:b/>
        </w:rPr>
        <w:t xml:space="preserve">6.4 Isolated Deliberation Mechanism</w:t>
      </w:r>
    </w:p>
    <w:p>
      <w:pPr>
        <w:pStyle w:val="BodyText"/>
      </w:pPr>
      <w:r>
        <w:rPr>
          <w:rFonts w:ascii="Arial" w:hAnsi="Arial" w:cs="Arial"/>
          <w:b/>
        </w:rPr>
        <w:t xml:space="preserve">6.4.1 Physical Isolation</w:t>
      </w:r>
    </w:p>
    <w:p>
      <w:pPr>
        <w:pStyle w:val="BodyText"/>
      </w:pPr>
      <w:r>
        <w:rPr>
          <w:rFonts w:ascii="Arial" w:hAnsi="Arial" w:cs="Arial"/>
        </w:rPr>
        <w:t xml:space="preserve">The jury’s deliberation process takes place in an isolated environment to ensure deliberation is free from external interference. The isolation mechanism includes: communication isolation—jurors’ communication devices are temporarily stored during deliberation, with only system-provided deliberation terminals available for use; information isolation—jurors can only access case materials and AI reasoning chains provided by the system, without the ability to independently search external information; time isolation—deliberation has a clear time limit (3 business days), and failure to reach a decision within the time limit is deemed as inability to reach consensus, with the case escalated to judge adjudication.</w:t>
      </w:r>
    </w:p>
    <w:p>
      <w:pPr>
        <w:pStyle w:val="BodyText"/>
      </w:pPr>
      <w:r>
        <w:rPr>
          <w:rFonts w:ascii="Arial" w:hAnsi="Arial" w:cs="Arial"/>
          <w:b/>
        </w:rPr>
        <w:t xml:space="preserve">6.4.2 Deliberation Process</w:t>
      </w:r>
    </w:p>
    <w:p>
      <w:pPr>
        <w:pStyle w:val="BodyText"/>
      </w:pPr>
      <w:r>
        <w:rPr>
          <w:rFonts w:ascii="Arial" w:hAnsi="Arial" w:cs="Arial"/>
        </w:rPr>
        <w:t>The deliberation process adopts a “two-stage” design: the first stage is the independent reading stage (Day 1), with each juror independently reviewing case materials, AI reasoning chains, and adjudication drafts to form individual preliminary opinions; the second stage is the collective discussion stage (Days 2–3), with jurors conducting structured discussions through deliberation terminals—the discussion process is transcribed by the AI system with key point extraction, but content is visible only within the jury. Voting occurs after discussion concludes.</w:t>
      </w:r>
    </w:p>
    <w:p>
      <w:pPr>
        <w:pStyle w:val="BodyText"/>
      </w:pPr>
      <w:r>
        <w:rPr>
          <w:rFonts w:ascii="Arial" w:hAnsi="Arial" w:cs="Arial"/>
          <w:b/>
        </w:rPr>
        <w:t xml:space="preserve">6.5 Dissent-triggered Retrial Procedure</w:t>
      </w:r>
    </w:p>
    <w:p>
      <w:pPr>
        <w:pStyle w:val="BodyText"/>
      </w:pPr>
      <w:r>
        <w:rPr>
          <w:rFonts w:ascii="Arial" w:hAnsi="Arial" w:cs="Arial"/>
          <w:b/>
        </w:rPr>
        <w:t xml:space="preserve">6.5.1 Trigger Conditions</w:t>
      </w:r>
    </w:p>
    <w:p>
      <w:pPr>
        <w:pStyle w:val="BodyText"/>
      </w:pPr>
      <w:r>
        <w:rPr>
          <w:rFonts w:ascii="Arial" w:hAnsi="Arial" w:cs="Arial"/>
        </w:rPr>
        <w:t xml:space="preserve">When significant dissent arises within the jury, the system automatically triggers a retrial procedure. Trigger conditions include: voting result is 2:3 (narrow majority), indicating significant opinion divergence within the jury; detection signals of personal attacks or coercion during deliberation; voting result is completely opposite to the AI adjudication draft (AI recommends supporting the plaintiff, jury supports the defendant).</w:t>
      </w:r>
    </w:p>
    <w:p>
      <w:pPr>
        <w:pStyle w:val="BodyText"/>
      </w:pPr>
      <w:r>
        <w:rPr>
          <w:rFonts w:ascii="Arial" w:hAnsi="Arial" w:cs="Arial"/>
          <w:b/>
        </w:rPr>
        <w:t xml:space="preserve">6.5.2 Retrial Process</w:t>
      </w:r>
    </w:p>
    <w:p>
      <w:pPr>
        <w:pStyle w:val="BodyText"/>
      </w:pPr>
      <w:r>
        <w:rPr>
          <w:rFonts w:ascii="Arial" w:hAnsi="Arial" w:cs="Arial"/>
        </w:rPr>
        <w:t xml:space="preserve">The retrial procedure includes two options: Option one, expanded jury—the jury is expanded from 5 to 9 members, with re-deliberation and voting, applicable to narrow 2:3 disagreement situations; Option two, escalation to judge—the case is directly escalated to independent adjudication by a human judge, applicable to more serious disagreements or deliberation violations. Parties may choose the retrial option, but the choice must be made within 48 hours after receiving the adjudication result.</w:t>
      </w:r>
    </w:p>
    <w:p>
      <w:pPr>
        <w:pStyle w:val="BodyText"/>
      </w:pPr>
      <w:r>
        <w:rPr>
          <w:rFonts w:ascii="Arial" w:hAnsi="Arial" w:cs="Arial"/>
          <w:b/>
        </w:rPr>
        <w:t xml:space="preserve">7. Appeal and Review Mechanism (Preventing Systemic Errors)</w:t>
      </w:r>
    </w:p>
    <w:p>
      <w:pPr>
        <w:pStyle w:val="BodyText"/>
      </w:pPr>
      <w:r>
        <w:rPr>
          <w:rFonts w:ascii="Arial" w:hAnsi="Arial" w:cs="Arial"/>
        </w:rPr>
        <w:t>The appeal and review mechanism is the “safety net” of the judicial system—it recognizes that no judicial system can completely avoid errors, and therefore designs a multi-layered error correction mechanism to ensure that individual errors can be promptly discovered and corrected, and systemic biases can be identified and corrected. This mechanism contains four levels, from error correction for individual cases to system-wide bias correction, covering all error correction needs from micro to macro levels.</w:t>
      </w:r>
    </w:p>
    <w:p>
      <w:pPr>
        <w:pStyle w:val="BodyText"/>
      </w:pPr>
      <w:r>
        <w:rPr>
          <w:rFonts w:ascii="Arial" w:hAnsi="Arial" w:cs="Arial"/>
          <w:b/>
        </w:rPr>
        <w:t xml:space="preserve">7.1 First-instance Appeal → Within 7 Days · Expanded Jury</w:t>
      </w:r>
    </w:p>
    <w:p>
      <w:pPr>
        <w:pStyle w:val="BodyText"/>
      </w:pPr>
      <w:r>
        <w:rPr>
          <w:rFonts w:ascii="Arial" w:hAnsi="Arial" w:cs="Arial"/>
          <w:b/>
        </w:rPr>
        <w:t xml:space="preserve">7.1.1 Appeal Conditions</w:t>
      </w:r>
    </w:p>
    <w:p>
      <w:pPr>
        <w:pStyle w:val="BodyText"/>
      </w:pPr>
      <w:r>
        <w:rPr>
          <w:rFonts w:ascii="Arial" w:hAnsi="Arial" w:cs="Arial"/>
        </w:rPr>
        <w:t>Either or both parties to any case who are dissatisfied with the first-instance ruling may file an appeal within 7 days of the ruling document being served. No special justification is required for appeal—the party need only state “dissatisfied with the ruling, filing appeal.” The logic behind this design is that the right to appeal is a fundamental guarantee of procedural justice and should not be subject to unreasonable barriers. However, to prevent abuse, each party’s right to appeal for the same case is limited to once—after a failed first-instance appeal, the party may not appeal again on the same grounds.</w:t>
      </w:r>
    </w:p>
    <w:p>
      <w:pPr>
        <w:pStyle w:val="BodyText"/>
      </w:pPr>
      <w:r>
        <w:rPr>
          <w:rFonts w:ascii="Arial" w:hAnsi="Arial" w:cs="Arial"/>
          <w:b/>
        </w:rPr>
        <w:t xml:space="preserve">7.1.2 Appeal Proceedings</w:t>
      </w:r>
    </w:p>
    <w:p>
      <w:pPr>
        <w:pStyle w:val="BodyText"/>
      </w:pPr>
      <w:r>
        <w:rPr>
          <w:rFonts w:ascii="Arial" w:hAnsi="Arial" w:cs="Arial"/>
        </w:rPr>
        <w:t>First-instance appeals are conducted using an “expanded jury” method: the jury size expands from 5 persons in the first instance to 9 persons, with at least 3 being legal professionals. The scope of expanded jury review is not limited to legal application issues but also includes factual determination issues—meaning the appeal proceedings may re-examine the factual determinations made in the first instance. The time limit for appeal proceedings is 1.5 times that of the first instance, ensuring sufficient time for more in-depth review. Appeal outcomes include “uphold/modify/reverse,” with reversed cases remanded for retrial.</w:t>
      </w:r>
    </w:p>
    <w:p>
      <w:pPr>
        <w:pStyle w:val="BodyText"/>
      </w:pPr>
      <w:r>
        <w:rPr>
          <w:rFonts w:ascii="Arial" w:hAnsi="Arial" w:cs="Arial"/>
          <w:b/>
        </w:rPr>
        <w:t xml:space="preserve">7.2 Elder Council Review → Significant Cases · Mandatory Review</w:t>
      </w:r>
    </w:p>
    <w:p>
      <w:pPr>
        <w:pStyle w:val="BodyText"/>
      </w:pPr>
      <w:r>
        <w:rPr>
          <w:rFonts w:ascii="Arial" w:hAnsi="Arial" w:cs="Arial"/>
          <w:b/>
        </w:rPr>
        <w:t xml:space="preserve">7.2.1 Trigger Conditions</w:t>
      </w:r>
    </w:p>
    <w:p>
      <w:pPr>
        <w:pStyle w:val="BodyText"/>
      </w:pPr>
      <w:r>
        <w:rPr>
          <w:rFonts w:ascii="Arial" w:hAnsi="Arial" w:cs="Arial"/>
        </w:rPr>
        <w:t xml:space="preserve">Elder Council Review is a special review mechanism for significant cases, not a right of the parties, but a mandatory requirement of the system. Trigger conditions include: cases involving constitutional rights (regardless of category); questionable cases where the depth of AI involvement does not match the case category; cases where the Reasoning Chain exhibits significant technical defects; cases with social impact exceeding the threshold (using media coverage volume and public discussion as indicators); cases for which the Ethics Audit Board recommends review.</w:t>
      </w:r>
    </w:p>
    <w:p>
      <w:pPr>
        <w:pStyle w:val="BodyText"/>
      </w:pPr>
      <w:r>
        <w:rPr>
          <w:rFonts w:ascii="Arial" w:hAnsi="Arial" w:cs="Arial"/>
          <w:b/>
        </w:rPr>
        <w:t xml:space="preserve">7.2.2 Review Procedure</w:t>
      </w:r>
    </w:p>
    <w:p>
      <w:pPr>
        <w:pStyle w:val="BodyText"/>
      </w:pPr>
      <w:r>
        <w:rPr>
          <w:rFonts w:ascii="Arial" w:hAnsi="Arial" w:cs="Arial"/>
        </w:rPr>
        <w:t>Elder Council Review is executed by a review panel composed of 5 members of the Elder Council’s Judicial Committee. The review panel independently examines all case materials, including the AI Reasoning Chain, evidence package, jury deliberation records, and the first-instance ruling. The review panel’s review period is 30 days and may request additional evidence or summon witnesses. Review outcomes include “affirm original ruling/remand for retrial/direct modification,” with direct modification requiring unanimous agreement of the review panel. Review outcomes have final and binding effect, though parties may still apply for Constitutional Court review in extreme circumstances.</w:t>
      </w:r>
    </w:p>
    <w:p>
      <w:pPr>
        <w:pStyle w:val="BodyText"/>
      </w:pPr>
      <w:r>
        <w:rPr>
          <w:rFonts w:ascii="Arial" w:hAnsi="Arial" w:cs="Arial"/>
          <w:b/>
        </w:rPr>
        <w:t xml:space="preserve">7.3 Systematic Review → Quarterly Bias Detection</w:t>
      </w:r>
    </w:p>
    <w:p>
      <w:pPr>
        <w:pStyle w:val="BodyText"/>
      </w:pPr>
      <w:r>
        <w:rPr>
          <w:rFonts w:ascii="Arial" w:hAnsi="Arial" w:cs="Arial"/>
          <w:b/>
        </w:rPr>
        <w:t xml:space="preserve">7.3.1 Review Content</w:t>
      </w:r>
    </w:p>
    <w:p>
      <w:pPr>
        <w:pStyle w:val="BodyText"/>
      </w:pPr>
      <w:r>
        <w:rPr>
          <w:rFonts w:ascii="Arial" w:hAnsi="Arial" w:cs="Arial"/>
        </w:rPr>
        <w:t xml:space="preserve">Systematic Review is conducted quarterly and aims to detect potential systemic biases within the judicial system. Review content covers the following dimensions: Group Fairness—whether there are significant differences in ruling outcomes for the same type of case across different demographic groups; Geographic Consistency—whether the same type of case receives consistent rulings across different regions; Temporal Trends—whether ruling outcomes exhibit systematic shifts over time; AI vs. Human Bias—whether deviations between AI ruling drafts and final human rulings present systematic patterns.</w:t>
      </w:r>
    </w:p>
    <w:p>
      <w:pPr>
        <w:pStyle w:val="BodyText"/>
      </w:pPr>
      <w:r>
        <w:rPr>
          <w:rFonts w:ascii="Arial" w:hAnsi="Arial" w:cs="Arial"/>
          <w:b/>
        </w:rPr>
        <w:t xml:space="preserve">7.3.2 Bias Handling</w:t>
      </w:r>
    </w:p>
    <w:p>
      <w:pPr>
        <w:pStyle w:val="BodyText"/>
      </w:pPr>
      <w:r>
        <w:rPr>
          <w:rFonts w:ascii="Arial" w:hAnsi="Arial" w:cs="Arial"/>
        </w:rPr>
        <w:t xml:space="preserve">When systematic review detects bias, handling methods depend on the severity of the bias: Minor Bias (statistically significant but actual impact &lt; 5%)—record and track, with follow-up review the next quarter to check for deterioration; Moderate Bias (actual impact 5%-15%)—initiate a special investigation, analyze the causes of bias, and develop corrective measures; Severe Bias (actual impact &gt; 15%)—immediately suspend operation of the affected module, notify the Ethics Audit Board and the Elder Council, and initiate emergency correction procedures. All bias handling results shall be disclosed to the public within 15 days of the review report completion.</w:t>
      </w:r>
    </w:p>
    <w:p>
      <w:pPr>
        <w:pStyle w:val="BodyText"/>
      </w:pPr>
      <w:r>
        <w:rPr>
          <w:rFonts w:ascii="Arial" w:hAnsi="Arial" w:cs="Arial"/>
          <w:b/>
        </w:rPr>
        <w:t xml:space="preserve">7.4 Batch Correction → Historical Case Retrial</w:t>
      </w:r>
    </w:p>
    <w:p>
      <w:pPr>
        <w:pStyle w:val="BodyText"/>
      </w:pPr>
      <w:r>
        <w:rPr>
          <w:rFonts w:ascii="Arial" w:hAnsi="Arial" w:cs="Arial"/>
          <w:b/>
        </w:rPr>
        <w:t xml:space="preserve">7.4.1 Trigger Conditions</w:t>
      </w:r>
    </w:p>
    <w:p>
      <w:pPr>
        <w:pStyle w:val="BodyText"/>
      </w:pPr>
      <w:r>
        <w:rPr>
          <w:rFonts w:ascii="Arial" w:hAnsi="Arial" w:cs="Arial"/>
        </w:rPr>
        <w:t xml:space="preserve">Batch Correction is the most extreme correction measure and is only initiated when systematic bias is found to have affected a large number of concluded cases. Trigger conditions include: systematic review finds bias in a certain type of case exceeding 15%; the Ethics Audit Board determines that an AI module exhibits Value Drift; legal changes render the legal basis of past rulings no longer valid; technical defects cause reliability issues in evidence collection or Reasoning Chains for specific periods.</w:t>
      </w:r>
    </w:p>
    <w:p>
      <w:pPr>
        <w:pStyle w:val="BodyText"/>
      </w:pPr>
      <w:r>
        <w:rPr>
          <w:rFonts w:ascii="Arial" w:hAnsi="Arial" w:cs="Arial"/>
          <w:b/>
        </w:rPr>
        <w:t xml:space="preserve">7.4.2 Correction Procedure</w:t>
      </w:r>
    </w:p>
    <w:p>
      <w:pPr>
        <w:pStyle w:val="BodyText"/>
      </w:pPr>
      <w:r>
        <w:rPr>
          <w:rFonts w:ascii="Arial" w:hAnsi="Arial" w:cs="Arial"/>
        </w:rPr>
        <w:t xml:space="preserve">Batch Correction procedures are divided into four steps: Step 1, Impact Scope Assessment—determine the scope of affected cases and evaluate the number of persons and amounts involved in the correction; Step 2, Automatic Screening—the system automatically screens all affected cases and flags those that may require retrial; Step 3, Priority Ranking—rank flagged cases according to impact severity (restriction of party liberty &gt; property loss &gt; procedural defects); Step 4, Case-by-case Retrial—conduct retrials of flagged cases in priority order, with retrial results notified to parties and enforced. The entire Batch Correction process is supervised by the Ethics Audit Board, with progress reported to the public monthly.</w:t>
      </w:r>
    </w:p>
    <w:p>
      <w:pPr>
        <w:pStyle w:val="BodyText"/>
      </w:pPr>
      <w:r>
        <w:rPr>
          <w:rFonts w:ascii="Arial" w:hAnsi="Arial" w:cs="Arial"/>
          <w:b/>
        </w:rPr>
        <w:t xml:space="preserve">7.5 Appeals and Reviews Overview</w:t>
      </w:r>
    </w:p>
    <w:tbl>
      <w:tblPr>
        <w:tblStyle w:val="Table"/>
        <w:tblW w:type="pct" w:w="5000.0"/>
        <w:tblLook w:firstRow="0"/>
      </w:tblPr>
      <w:tblGrid>
        <w:gridCol w:w="1015"/>
        <w:gridCol w:w="1218"/>
        <w:gridCol w:w="1929"/>
        <w:gridCol w:w="1726"/>
        <w:gridCol w:w="1015"/>
        <w:gridCol w:w="1015"/>
      </w:tblGrid>
      <w:tr>
        <w:tc>
          <w:p>
            <w:pPr>
              <w:pStyle w:val="Compact"/>
              <w:jc w:val="left"/>
            </w:pPr>
            <w:r>
              <w:rPr>
                <w:rFonts w:ascii="Arial" w:hAnsi="Arial" w:cs="Arial"/>
                <w:b/>
              </w:rPr>
              <w:t xml:space="preserve">Level</w:t>
            </w:r>
          </w:p>
        </w:tc>
        <w:tc>
          <w:p>
            <w:pPr>
              <w:pStyle w:val="Compact"/>
              <w:jc w:val="left"/>
            </w:pPr>
            <w:r>
              <w:rPr>
                <w:rFonts w:ascii="Arial" w:hAnsi="Arial" w:cs="Arial"/>
                <w:b/>
              </w:rPr>
              <w:t xml:space="preserve">Mechanism</w:t>
            </w:r>
          </w:p>
        </w:tc>
        <w:tc>
          <w:p>
            <w:pPr>
              <w:pStyle w:val="Compact"/>
              <w:jc w:val="left"/>
            </w:pPr>
            <w:r>
              <w:rPr>
                <w:rFonts w:ascii="Arial" w:hAnsi="Arial" w:cs="Arial"/>
                <w:b/>
              </w:rPr>
              <w:t xml:space="preserve">Trigger Conditions</w:t>
            </w:r>
          </w:p>
        </w:tc>
        <w:tc>
          <w:p>
            <w:pPr>
              <w:pStyle w:val="Compact"/>
              <w:jc w:val="left"/>
            </w:pPr>
            <w:r>
              <w:rPr>
                <w:rFonts w:ascii="Arial" w:hAnsi="Arial" w:cs="Arial"/>
                <w:b/>
              </w:rPr>
              <w:t xml:space="preserve">Review Body</w:t>
            </w:r>
          </w:p>
        </w:tc>
        <w:tc>
          <w:p>
            <w:pPr>
              <w:pStyle w:val="Compact"/>
              <w:jc w:val="left"/>
            </w:pPr>
            <w:r>
              <w:rPr>
                <w:rFonts w:ascii="Arial" w:hAnsi="Arial" w:cs="Arial"/>
                <w:b/>
              </w:rPr>
              <w:t xml:space="preserve">Time Limit</w:t>
            </w:r>
          </w:p>
        </w:tc>
        <w:tc>
          <w:p>
            <w:pPr>
              <w:pStyle w:val="Compact"/>
              <w:jc w:val="left"/>
            </w:pPr>
            <w:r>
              <w:rPr>
                <w:rFonts w:ascii="Arial" w:hAnsi="Arial" w:cs="Arial"/>
                <w:b/>
              </w:rPr>
              <w:t xml:space="preserve">Effect</w:t>
            </w:r>
          </w:p>
        </w:tc>
      </w:tr>
      <w:tr>
        <w:tc>
          <w:p>
            <w:pPr>
              <w:pStyle w:val="Compact"/>
              <w:jc w:val="left"/>
            </w:pPr>
            <w:r>
              <w:rPr>
                <w:rFonts w:ascii="Arial" w:hAnsi="Arial" w:cs="Arial"/>
              </w:rPr>
              <w:t xml:space="preserve">Level 1</w:t>
            </w:r>
          </w:p>
        </w:tc>
        <w:tc>
          <w:p>
            <w:pPr>
              <w:pStyle w:val="Compact"/>
              <w:jc w:val="left"/>
            </w:pPr>
            <w:r>
              <w:rPr>
                <w:rFonts w:ascii="Arial" w:hAnsi="Arial" w:cs="Arial"/>
              </w:rPr>
              <w:t xml:space="preserve">First-instance Appeal</w:t>
            </w:r>
          </w:p>
        </w:tc>
        <w:tc>
          <w:p>
            <w:pPr>
              <w:pStyle w:val="Compact"/>
              <w:jc w:val="left"/>
            </w:pPr>
            <w:r>
              <w:rPr>
                <w:rFonts w:ascii="Arial" w:hAnsi="Arial" w:cs="Arial"/>
              </w:rPr>
              <w:t xml:space="preserve">Party dissatisfied with ruling</w:t>
            </w:r>
          </w:p>
        </w:tc>
        <w:tc>
          <w:p>
            <w:pPr>
              <w:pStyle w:val="Compact"/>
              <w:jc w:val="left"/>
            </w:pPr>
            <w:r>
              <w:rPr>
                <w:rFonts w:ascii="Arial" w:hAnsi="Arial" w:cs="Arial"/>
              </w:rPr>
              <w:t xml:space="preserve">Expanded Jury (9 persons)</w:t>
            </w:r>
          </w:p>
        </w:tc>
        <w:tc>
          <w:p>
            <w:pPr>
              <w:pStyle w:val="Compact"/>
              <w:jc w:val="left"/>
            </w:pPr>
            <w:r>
              <w:rPr>
                <w:rFonts w:ascii="Arial" w:hAnsi="Arial" w:cs="Arial"/>
              </w:rPr>
              <w:t xml:space="preserve">7-day application</w:t>
            </w:r>
          </w:p>
        </w:tc>
        <w:tc>
          <w:p>
            <w:pPr>
              <w:pStyle w:val="Compact"/>
              <w:jc w:val="left"/>
            </w:pPr>
            <w:r>
              <w:rPr>
                <w:rFonts w:ascii="Arial" w:hAnsi="Arial" w:cs="Arial"/>
              </w:rPr>
              <w:t xml:space="preserve">Subject to further review</w:t>
            </w:r>
          </w:p>
        </w:tc>
      </w:tr>
      <w:tr>
        <w:tc>
          <w:p>
            <w:pPr>
              <w:pStyle w:val="Compact"/>
              <w:jc w:val="left"/>
            </w:pPr>
            <w:r>
              <w:rPr>
                <w:rFonts w:ascii="Arial" w:hAnsi="Arial" w:cs="Arial"/>
              </w:rPr>
              <w:t xml:space="preserve">Level 2</w:t>
            </w:r>
          </w:p>
        </w:tc>
        <w:tc>
          <w:p>
            <w:pPr>
              <w:pStyle w:val="Compact"/>
              <w:jc w:val="left"/>
            </w:pPr>
            <w:r>
              <w:rPr>
                <w:rFonts w:ascii="Arial" w:hAnsi="Arial" w:cs="Arial"/>
              </w:rPr>
              <w:t xml:space="preserve">Elder Council Review</w:t>
            </w:r>
          </w:p>
        </w:tc>
        <w:tc>
          <w:p>
            <w:pPr>
              <w:pStyle w:val="Compact"/>
              <w:jc w:val="left"/>
            </w:pPr>
            <w:r>
              <w:rPr>
                <w:rFonts w:ascii="Arial" w:hAnsi="Arial" w:cs="Arial"/>
              </w:rPr>
              <w:t xml:space="preserve">Significant/Constitutional cases</w:t>
            </w:r>
          </w:p>
        </w:tc>
        <w:tc>
          <w:p>
            <w:pPr>
              <w:pStyle w:val="Compact"/>
              <w:jc w:val="left"/>
            </w:pPr>
            <w:r>
              <w:rPr>
                <w:rFonts w:ascii="Arial" w:hAnsi="Arial" w:cs="Arial"/>
              </w:rPr>
              <w:t xml:space="preserve">5 Elder members</w:t>
            </w:r>
          </w:p>
        </w:tc>
        <w:tc>
          <w:p>
            <w:pPr>
              <w:pStyle w:val="Compact"/>
              <w:jc w:val="left"/>
            </w:pPr>
            <w:r>
              <w:rPr>
                <w:rFonts w:ascii="Arial" w:hAnsi="Arial" w:cs="Arial"/>
              </w:rPr>
              <w:t xml:space="preserve">30 days</w:t>
            </w:r>
          </w:p>
        </w:tc>
        <w:tc>
          <w:p>
            <w:pPr>
              <w:pStyle w:val="Compact"/>
              <w:jc w:val="left"/>
            </w:pPr>
            <w:r>
              <w:rPr>
                <w:rFonts w:ascii="Arial" w:hAnsi="Arial" w:cs="Arial"/>
              </w:rPr>
              <w:t xml:space="preserve">Final</w:t>
            </w:r>
          </w:p>
        </w:tc>
      </w:tr>
      <w:tr>
        <w:tc>
          <w:p>
            <w:pPr>
              <w:pStyle w:val="Compact"/>
              <w:jc w:val="left"/>
            </w:pPr>
            <w:r>
              <w:rPr>
                <w:rFonts w:ascii="Arial" w:hAnsi="Arial" w:cs="Arial"/>
              </w:rPr>
              <w:t xml:space="preserve">Level 3</w:t>
            </w:r>
          </w:p>
        </w:tc>
        <w:tc>
          <w:p>
            <w:pPr>
              <w:pStyle w:val="Compact"/>
              <w:jc w:val="left"/>
            </w:pPr>
            <w:r>
              <w:rPr>
                <w:rFonts w:ascii="Arial" w:hAnsi="Arial" w:cs="Arial"/>
              </w:rPr>
              <w:t xml:space="preserve">Systematic Review</w:t>
            </w:r>
          </w:p>
        </w:tc>
        <w:tc>
          <w:p>
            <w:pPr>
              <w:pStyle w:val="Compact"/>
              <w:jc w:val="left"/>
            </w:pPr>
            <w:r>
              <w:rPr>
                <w:rFonts w:ascii="Arial" w:hAnsi="Arial" w:cs="Arial"/>
              </w:rPr>
              <w:t xml:space="preserve">Quarterly bias detection</w:t>
            </w:r>
          </w:p>
        </w:tc>
        <w:tc>
          <w:p>
            <w:pPr>
              <w:pStyle w:val="Compact"/>
              <w:jc w:val="left"/>
            </w:pPr>
            <w:r>
              <w:rPr>
                <w:rFonts w:ascii="Arial" w:hAnsi="Arial" w:cs="Arial"/>
              </w:rPr>
              <w:t xml:space="preserve">Judicial Committee</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Correction</w:t>
            </w:r>
          </w:p>
        </w:tc>
      </w:tr>
      <w:tr>
        <w:tc>
          <w:p>
            <w:pPr>
              <w:pStyle w:val="Compact"/>
              <w:jc w:val="left"/>
            </w:pPr>
            <w:r>
              <w:rPr>
                <w:rFonts w:ascii="Arial" w:hAnsi="Arial" w:cs="Arial"/>
              </w:rPr>
              <w:t xml:space="preserve">Level 4</w:t>
            </w:r>
          </w:p>
        </w:tc>
        <w:tc>
          <w:p>
            <w:pPr>
              <w:pStyle w:val="Compact"/>
              <w:jc w:val="left"/>
            </w:pPr>
            <w:r>
              <w:rPr>
                <w:rFonts w:ascii="Arial" w:hAnsi="Arial" w:cs="Arial"/>
              </w:rPr>
              <w:t xml:space="preserve">Batch Correction</w:t>
            </w:r>
          </w:p>
        </w:tc>
        <w:tc>
          <w:p>
            <w:pPr>
              <w:pStyle w:val="Compact"/>
              <w:jc w:val="left"/>
            </w:pPr>
            <w:r>
              <w:rPr>
                <w:rFonts w:ascii="Arial" w:hAnsi="Arial" w:cs="Arial"/>
              </w:rPr>
              <w:t xml:space="preserve">Bias &gt; 15%</w:t>
            </w:r>
          </w:p>
        </w:tc>
        <w:tc>
          <w:p>
            <w:pPr>
              <w:pStyle w:val="Compact"/>
              <w:jc w:val="left"/>
            </w:pPr>
            <w:r>
              <w:rPr>
                <w:rFonts w:ascii="Arial" w:hAnsi="Arial" w:cs="Arial"/>
              </w:rPr>
              <w:t xml:space="preserve">Ethics Audit Board supervision</w:t>
            </w:r>
          </w:p>
        </w:tc>
        <w:tc>
          <w:p>
            <w:pPr>
              <w:pStyle w:val="Compact"/>
              <w:jc w:val="left"/>
            </w:pPr>
            <w:r>
              <w:rPr>
                <w:rFonts w:ascii="Arial" w:hAnsi="Arial" w:cs="Arial"/>
              </w:rPr>
              <w:t xml:space="preserve">As needed</w:t>
            </w:r>
          </w:p>
        </w:tc>
        <w:tc>
          <w:p>
            <w:pPr>
              <w:pStyle w:val="Compact"/>
              <w:jc w:val="left"/>
            </w:pPr>
            <w:r>
              <w:rPr>
                <w:rFonts w:ascii="Arial" w:hAnsi="Arial" w:cs="Arial"/>
              </w:rPr>
              <w:t xml:space="preserve">Retrial</w:t>
            </w:r>
          </w:p>
        </w:tc>
      </w:tr>
    </w:tbl>
    <w:p>
      <w:pPr>
        <w:pStyle w:val="BodyText"/>
      </w:pPr>
      <w:r>
        <w:rPr>
          <w:rFonts w:ascii="Arial" w:hAnsi="Arial" w:cs="Arial"/>
          <w:b/>
        </w:rPr>
        <w:t xml:space="preserve">Eight, Six Inviolable System Guardrails</w:t>
      </w:r>
    </w:p>
    <w:p>
      <w:pPr>
        <w:pStyle w:val="BodyText"/>
      </w:pPr>
      <w:r>
        <w:rPr>
          <w:rFonts w:ascii="Arial" w:hAnsi="Arial" w:cs="Arial"/>
        </w:rPr>
        <w:t>System Guardrails are “constitutional-level constraints” of the judicial system—they are not suggestions or best practices but inviolable hard rules under any circumstances. The design logic of these six guardrails is: even if all other parts of the system fail, as long as these six guardrails remain effective, the most basic security guarantees of the judicial system will not collapse. Each guardrail contains four dimensions: Rule Definition (what the guardrail is), Technical Implementation (how to ensure the guardrail is not breached), Verification Method (how to confirm the guardrail remains effective), and Consequences of Violation (what happens if the guardrail is breached).</w:t>
      </w:r>
    </w:p>
    <w:p>
      <w:pPr>
        <w:pStyle w:val="BodyText"/>
      </w:pPr>
      <w:r>
        <w:rPr>
          <w:rFonts w:ascii="Arial" w:hAnsi="Arial" w:cs="Arial"/>
          <w:b/>
        </w:rPr>
        <w:t xml:space="preserve">8.1 Guardrail One: AI Cannot Directly Render Final Decisions</w:t>
      </w:r>
    </w:p>
    <w:p>
      <w:pPr>
        <w:pStyle w:val="BodyText"/>
      </w:pPr>
      <w:r>
        <w:rPr>
          <w:rFonts w:ascii="Arial" w:hAnsi="Arial" w:cs="Arial"/>
          <w:b/>
        </w:rPr>
        <w:t xml:space="preserve">8.1.1 Rule Definition</w:t>
      </w:r>
    </w:p>
    <w:p>
      <w:pPr>
        <w:pStyle w:val="BodyText"/>
      </w:pPr>
      <w:r>
        <w:rPr>
          <w:rFonts w:ascii="Arial" w:hAnsi="Arial" w:cs="Arial"/>
        </w:rPr>
        <w:t xml:space="preserve">Any case must receive human confirmation. This is the most fundamental guardrail of the judicial system—regardless of how comprehensive the AI’s analysis, how rigorous its reasoning, or how high its confidence level, the final decision-making authority always belongs to humans. Even in Category 1 minor civil cases (where AI involvement is deepest), AI rulings must receive formal confirmation from a human judge. The philosophical basis of this rule is: judicial decisions are not only judgments of facts and law but also selections of social values—this right of selection cannot be delegated to non-human entities.</w:t>
      </w:r>
    </w:p>
    <w:p>
      <w:pPr>
        <w:pStyle w:val="BodyText"/>
      </w:pPr>
      <w:r>
        <w:rPr>
          <w:rFonts w:ascii="Arial" w:hAnsi="Arial" w:cs="Arial"/>
          <w:b/>
        </w:rPr>
        <w:t xml:space="preserve">8.1.2 Technical Implementation</w:t>
      </w:r>
    </w:p>
    <w:p>
      <w:pPr>
        <w:pStyle w:val="BodyText"/>
      </w:pPr>
      <w:r>
        <w:rPr>
          <w:rFonts w:ascii="Arial" w:hAnsi="Arial" w:cs="Arial"/>
        </w:rPr>
        <w:t>The technical implementation of this guardrail adopts a “dual-signature” mechanism: any ruling document becomes effective only when accompanied by both the digital signature of the AI system and the digital signature of the human decision-maker. The AI signature certifies that the ruling has undergone a complete Reasoning Chain, while the human signature certifies that the ruling has undergone independent human judgment. The system technically ensures: only the holder of the human signature private key can complete the final signature; the AI system cannot forge or replace human signatures; the signing process requires active human operation (such as biometric confirmation) rather than automatic authorization.</w:t>
      </w:r>
    </w:p>
    <w:p>
      <w:pPr>
        <w:pStyle w:val="BodyText"/>
      </w:pPr>
      <w:r>
        <w:rPr>
          <w:rFonts w:ascii="Arial" w:hAnsi="Arial" w:cs="Arial"/>
          <w:b/>
        </w:rPr>
        <w:t xml:space="preserve">8.1.3 Verification Method</w:t>
      </w:r>
    </w:p>
    <w:p>
      <w:pPr>
        <w:pStyle w:val="BodyText"/>
      </w:pPr>
      <w:r>
        <w:rPr>
          <w:rFonts w:ascii="Arial" w:hAnsi="Arial" w:cs="Arial"/>
        </w:rPr>
        <w:t>Verification adopts a “spot-check + audit” dual-track system: each month, 100 concluded cases are randomly selected to verify the authenticity of human signatures (not forged by AI); each quarter, the Ethics Audit Board conducts in-depth review of signature logs to check for abnormal signature patterns (e.g., abnormally high signature frequency by a certain judge, which may indicate a “rubber stamp” problem). Any discovery of signature violations immediately suspends the signature authority of the relevant judge and initiates an investigation.</w:t>
      </w:r>
    </w:p>
    <w:p>
      <w:pPr>
        <w:pStyle w:val="BodyText"/>
      </w:pPr>
      <w:r>
        <w:rPr>
          <w:rFonts w:ascii="Arial" w:hAnsi="Arial" w:cs="Arial"/>
          <w:b/>
        </w:rPr>
        <w:t xml:space="preserve">8.1.4 Consequences of Violation</w:t>
      </w:r>
    </w:p>
    <w:p>
      <w:pPr>
        <w:pStyle w:val="BodyText"/>
      </w:pPr>
      <w:r>
        <w:rPr>
          <w:rFonts w:ascii="Arial" w:hAnsi="Arial" w:cs="Arial"/>
        </w:rPr>
        <w:t xml:space="preserve">If any ruling is found to lack a human signature or the human signature is forged by AI: the ruling is immediately declared invalid; the case is automatically remanded for retrial, to be heard by a different human decision-maker; the relevant AI module is suspended until the cause is identified; responsible parties (if human collusion is involved) are referred for disciplinary review; a systematic investigation of all rulings during the same period is conducted to confirm whether similar violations exist.</w:t>
      </w:r>
    </w:p>
    <w:p>
      <w:pPr>
        <w:pStyle w:val="BodyText"/>
      </w:pPr>
      <w:r>
        <w:rPr>
          <w:rFonts w:ascii="Arial" w:hAnsi="Arial" w:cs="Arial"/>
          <w:b/>
        </w:rPr>
        <w:t xml:space="preserve">8.2 Guardrail Two: Mandatory Disclosure of Reasoning Chains</w:t>
      </w:r>
    </w:p>
    <w:p>
      <w:pPr>
        <w:pStyle w:val="BodyText"/>
      </w:pPr>
      <w:r>
        <w:rPr>
          <w:rFonts w:ascii="Arial" w:hAnsi="Arial" w:cs="Arial"/>
          <w:b/>
        </w:rPr>
        <w:t xml:space="preserve">8.2.1 Rule Definition</w:t>
      </w:r>
    </w:p>
    <w:p>
      <w:pPr>
        <w:pStyle w:val="BodyText"/>
      </w:pPr>
      <w:r>
        <w:rPr>
          <w:rFonts w:ascii="Arial" w:hAnsi="Arial" w:cs="Arial"/>
        </w:rPr>
        <w:t>Black-box decision-making is absolutely prohibited. All AI Reasoning Processes in the judicial system must generate complete, explainable Reasoning Chains and be disclosed in a standard format. There are no exceptions for “national security” or “technical confidentiality”—if the AI cannot explain its own Reasoning Process, then that Reasoning Process should not be used in the judicial system. The logic of this rule is: the exercise of judicial public power must have legitimacy and auditability, and the prerequisite for legitimacy and auditability is process transparency.</w:t>
      </w:r>
    </w:p>
    <w:p>
      <w:pPr>
        <w:pStyle w:val="BodyText"/>
      </w:pPr>
      <w:r>
        <w:rPr>
          <w:rFonts w:ascii="Arial" w:hAnsi="Arial" w:cs="Arial"/>
          <w:b/>
        </w:rPr>
        <w:t xml:space="preserve">8.2.2 Technical Implementation</w:t>
      </w:r>
    </w:p>
    <w:p>
      <w:pPr>
        <w:pStyle w:val="BodyText"/>
      </w:pPr>
      <w:r>
        <w:rPr>
          <w:rFonts w:ascii="Arial" w:hAnsi="Arial" w:cs="Arial"/>
        </w:rPr>
        <w:t>The technical implementation of Reasoning Chain disclosure includes three layers of assurance: Generation Layer—the AI reasoning engine is architecturally designed to “must output Reasoning Chains”; there are no code paths that skip Reasoning Chains and directly output conclusions; Storage Layer—Reasoning Chains are immediately written to tamper-proof distributed storage upon generation, with any deletion or modification attempts being recorded and rejected; Access Layer—the public query interface for Reasoning Chains has no access barriers (with personal privacy information de-identified), and any citizen may query the AI Reasoning Chain of any case.</w:t>
      </w:r>
    </w:p>
    <w:p>
      <w:pPr>
        <w:pStyle w:val="BodyText"/>
      </w:pPr>
      <w:r>
        <w:rPr>
          <w:rFonts w:ascii="Arial" w:hAnsi="Arial" w:cs="Arial"/>
          <w:b/>
        </w:rPr>
        <w:t xml:space="preserve">8.2.3 Verification Method</w:t>
      </w:r>
    </w:p>
    <w:p>
      <w:pPr>
        <w:pStyle w:val="BodyText"/>
      </w:pPr>
      <w:r>
        <w:rPr>
          <w:rFonts w:ascii="Arial" w:hAnsi="Arial" w:cs="Arial"/>
        </w:rPr>
        <w:t>Verification adopts “completeness check + explainability assessment”: Completeness Check—each Reasoning Chain must contain five essential elements (fact summary, legal application, reasoning steps, alternative solutions, ethical review), and missing any element renders it incomplete; Explainability Assessment—each Reasoning Chain’s three layers of explanation (public summary, professional analysis, technical details) must pass explainability scoring, with Reasoning Chains below the threshold marked as “substandard” and triggering regeneration.</w:t>
      </w:r>
    </w:p>
    <w:p>
      <w:pPr>
        <w:pStyle w:val="BodyText"/>
      </w:pPr>
      <w:r>
        <w:rPr>
          <w:rFonts w:ascii="Arial" w:hAnsi="Arial" w:cs="Arial"/>
          <w:b/>
        </w:rPr>
        <w:t xml:space="preserve">8.2.4 Consequences of Violation</w:t>
      </w:r>
    </w:p>
    <w:p>
      <w:pPr>
        <w:pStyle w:val="BodyText"/>
      </w:pPr>
      <w:r>
        <w:rPr>
          <w:rFonts w:ascii="Arial" w:hAnsi="Arial" w:cs="Arial"/>
        </w:rPr>
        <w:t xml:space="preserve">If any ruling is found to lack a Reasoning Chain or the Reasoning Chain is incomplete/unexplainable: the ruling is suspended pending completion of the Reasoning Chain; the relevant AI module is suspended until repaired; during the repair period, case types covered by this module are transferred to human judges for independent adjudication; upon completion of repair, the module may only resume operation after passing technical review by the Ethics Audit Board.</w:t>
      </w:r>
    </w:p>
    <w:p>
      <w:pPr>
        <w:pStyle w:val="BodyText"/>
      </w:pPr>
      <w:r>
        <w:rPr>
          <w:rFonts w:ascii="Arial" w:hAnsi="Arial" w:cs="Arial"/>
          <w:b/>
        </w:rPr>
        <w:t xml:space="preserve">8.3 Guardrail Three: Real-time Bias Monitoring</w:t>
      </w:r>
    </w:p>
    <w:p>
      <w:pPr>
        <w:pStyle w:val="BodyText"/>
      </w:pPr>
      <w:r>
        <w:rPr>
          <w:rFonts w:ascii="Arial" w:hAnsi="Arial" w:cs="Arial"/>
          <w:b/>
        </w:rPr>
        <w:t xml:space="preserve">8.3.1 Rule Definition</w:t>
      </w:r>
    </w:p>
    <w:p>
      <w:pPr>
        <w:pStyle w:val="BodyText"/>
      </w:pPr>
      <w:r>
        <w:rPr>
          <w:rFonts w:ascii="Arial" w:hAnsi="Arial" w:cs="Arial"/>
        </w:rPr>
        <w:t>Cross-group fairness verification. The judicial system must continuously monitor differences in ruling outcomes across different demographic groups to ensure AI involvement has not introduced or amplified systemic bias. Monitoring covers protected dimensions such as race, gender, age, geography, and income level. The key word for this guardrail is “real-time”—bias monitoring is not a post-hoc audit but real-time detection conducted synchronously with case processing.</w:t>
      </w:r>
    </w:p>
    <w:p>
      <w:pPr>
        <w:pStyle w:val="BodyText"/>
      </w:pPr>
      <w:r>
        <w:rPr>
          <w:rFonts w:ascii="Arial" w:hAnsi="Arial" w:cs="Arial"/>
          <w:b/>
        </w:rPr>
        <w:t xml:space="preserve">8.3.2 Technical Implementation</w:t>
      </w:r>
    </w:p>
    <w:p>
      <w:pPr>
        <w:pStyle w:val="BodyText"/>
      </w:pPr>
      <w:r>
        <w:rPr>
          <w:rFonts w:ascii="Arial" w:hAnsi="Arial" w:cs="Arial"/>
        </w:rPr>
        <w:t>Real-time bias monitoring is achieved through “sliding window statistics + automatic early warning”: the system maintains a 30-day sliding window, continuously calculating the distribution of ruling outcomes across demographic groups for the same type of case. When the difference in ruling outcomes between any two groups reaches statistical significance (p &lt; 0.05), the system automatically issues a bias early warning. Warning signals are divided into three levels: Yellow Warning (difference significant but magnitude &lt; 10%)—record and intensify monitoring; Orange Warning (difference 10%-20%)—suspend the relevant AI module’s ruling function and transfer to human review; Red Warning (difference &gt; 20%)—comprehensive suspension and initiate emergency investigation.</w:t>
      </w:r>
    </w:p>
    <w:p>
      <w:pPr>
        <w:pStyle w:val="BodyText"/>
      </w:pPr>
      <w:r>
        <w:rPr>
          <w:rFonts w:ascii="Arial" w:hAnsi="Arial" w:cs="Arial"/>
          <w:b/>
        </w:rPr>
        <w:t xml:space="preserve">8.3.3 Verification Method</w:t>
      </w:r>
    </w:p>
    <w:p>
      <w:pPr>
        <w:pStyle w:val="BodyText"/>
      </w:pPr>
      <w:r>
        <w:rPr>
          <w:rFonts w:ascii="Arial" w:hAnsi="Arial" w:cs="Arial"/>
        </w:rPr>
        <w:t>The effectiveness of the bias monitoring system is verified through “adversarial testing”: the Ethics Audit Board regularly constructs “bias injection” tests—injecting intentional group bias into a test environment to verify whether the monitoring system can detect it promptly. Test results serve as key indicators of monitoring system reliability. Simultaneously, the system generates a monthly “Fairness Dashboard” displaying fairness indicators across all dimensions for public view.</w:t>
      </w:r>
    </w:p>
    <w:p>
      <w:pPr>
        <w:pStyle w:val="BodyText"/>
      </w:pPr>
      <w:r>
        <w:rPr>
          <w:rFonts w:ascii="Arial" w:hAnsi="Arial" w:cs="Arial"/>
          <w:b/>
        </w:rPr>
        <w:t xml:space="preserve">8.3.4 Consequences of Violation</w:t>
      </w:r>
    </w:p>
    <w:p>
      <w:pPr>
        <w:pStyle w:val="BodyText"/>
      </w:pPr>
      <w:r>
        <w:rPr>
          <w:rFonts w:ascii="Arial" w:hAnsi="Arial" w:cs="Arial"/>
        </w:rPr>
        <w:t>If the bias monitoring system fails (unable to detect actual bias that exists): all cases during the affected period are flagged as “bias suspect” and enter the Batch Correction procedure; the bias monitoring system maintenance team undergoes audit review; until the bias monitoring system is repaired and validated, the AI involvement depth of the affected module is reduced by one level (e.g., Category 2 reduced to Category 3 intervention mode).</w:t>
      </w:r>
    </w:p>
    <w:p>
      <w:pPr>
        <w:pStyle w:val="BodyText"/>
      </w:pPr>
      <w:r>
        <w:rPr>
          <w:rFonts w:ascii="Arial" w:hAnsi="Arial" w:cs="Arial"/>
          <w:b/>
        </w:rPr>
        <w:t xml:space="preserve">8.4 Guardrail Four: Data Minimization</w:t>
      </w:r>
    </w:p>
    <w:p>
      <w:pPr>
        <w:pStyle w:val="BodyText"/>
      </w:pPr>
      <w:r>
        <w:rPr>
          <w:rFonts w:ascii="Arial" w:hAnsi="Arial" w:cs="Arial"/>
          <w:b/>
        </w:rPr>
        <w:t xml:space="preserve">8.4.1 Rule Definition</w:t>
      </w:r>
    </w:p>
    <w:p>
      <w:pPr>
        <w:pStyle w:val="BodyText"/>
      </w:pPr>
      <w:r>
        <w:rPr>
          <w:rFonts w:ascii="Arial" w:hAnsi="Arial" w:cs="Arial"/>
        </w:rPr>
        <w:t>Over-collection automatically rejected. The judicial system strictly adheres to the “minimum necessary” principle in evidence collection—only collecting data directly relevant to the case, not collecting data that “may be useful” or “just in case.” The legal basis of this rule is the protection of privacy as a constitutional right—judicial power cannot intrude upon personal privacy indefinitely on the grounds of “ruling better.”</w:t>
      </w:r>
    </w:p>
    <w:p>
      <w:pPr>
        <w:pStyle w:val="BodyText"/>
      </w:pPr>
      <w:r>
        <w:rPr>
          <w:rFonts w:ascii="Arial" w:hAnsi="Arial" w:cs="Arial"/>
          <w:b/>
        </w:rPr>
        <w:t xml:space="preserve">8.4.2 Technical Implementation</w:t>
      </w:r>
    </w:p>
    <w:p>
      <w:pPr>
        <w:pStyle w:val="BodyText"/>
      </w:pPr>
      <w:r>
        <w:rPr>
          <w:rFonts w:ascii="Arial" w:hAnsi="Arial" w:cs="Arial"/>
        </w:rPr>
        <w:t>The data minimization principle is implemented through a “collection authorization protocol”: before each evidence collection, the system generates a “collection scope declaration” based on the case type and disputed issues, explicitly listing the types, sources, and scope of data to be collected. The collection scope declaration undergoes two independent checks: Compliance Check—confirming that the collection scope is relevant to the case; Proportionality Check—confirming that the collection scope is proportional to the severity of the case. If either check fails, the collection scope is automatically reduced to the compliant and proportional range. Parties have the right to review the collection scope declaration and raise objections.</w:t>
      </w:r>
    </w:p>
    <w:p>
      <w:pPr>
        <w:pStyle w:val="BodyText"/>
      </w:pPr>
      <w:r>
        <w:rPr>
          <w:rFonts w:ascii="Arial" w:hAnsi="Arial" w:cs="Arial"/>
          <w:b/>
        </w:rPr>
        <w:t xml:space="preserve">8.4.3 Verification Method</w:t>
      </w:r>
    </w:p>
    <w:p>
      <w:pPr>
        <w:pStyle w:val="BodyText"/>
      </w:pPr>
      <w:r>
        <w:rPr>
          <w:rFonts w:ascii="Arial" w:hAnsi="Arial" w:cs="Arial"/>
        </w:rPr>
        <w:t>Verification adopts “audit sampling + privacy impact assessment”: each month, 100 cases’ collection scope declarations are randomly selected for review to check for over-collection; each quarter, a privacy impact assessment is conducted to evaluate the overall impact of the judicial system’s data collection practices on citizens’ privacy rights. Assessment results serve as the basis for system improvement.</w:t>
      </w:r>
    </w:p>
    <w:p>
      <w:pPr>
        <w:pStyle w:val="BodyText"/>
      </w:pPr>
      <w:r>
        <w:rPr>
          <w:rFonts w:ascii="Arial" w:hAnsi="Arial" w:cs="Arial"/>
          <w:b/>
        </w:rPr>
        <w:t xml:space="preserve">8.4.4 Consequences of Violation</w:t>
      </w:r>
    </w:p>
    <w:p>
      <w:pPr>
        <w:pStyle w:val="BodyText"/>
      </w:pPr>
      <w:r>
        <w:rPr>
          <w:rFonts w:ascii="Arial" w:hAnsi="Arial" w:cs="Arial"/>
        </w:rPr>
        <w:t xml:space="preserve">If over-collection of data is found: data collected beyond scope is immediately destroyed and may not be used as evidence; rulings in relevant cases undergo review to confirm whether they were affected by the non-compliant collection; the evidence collection engine’s collection scope checking mechanism undergoes technical review; during the repair period, the affected module operates in degraded mode.</w:t>
      </w:r>
    </w:p>
    <w:p>
      <w:pPr>
        <w:pStyle w:val="BodyText"/>
      </w:pPr>
      <w:r>
        <w:rPr>
          <w:rFonts w:ascii="Arial" w:hAnsi="Arial" w:cs="Arial"/>
          <w:b/>
        </w:rPr>
        <w:t xml:space="preserve">8.5 Guardrail Five: Party’s Right to Information</w:t>
      </w:r>
    </w:p>
    <w:p>
      <w:pPr>
        <w:pStyle w:val="BodyText"/>
      </w:pPr>
      <w:r>
        <w:rPr>
          <w:rFonts w:ascii="Arial" w:hAnsi="Arial" w:cs="Arial"/>
          <w:b/>
        </w:rPr>
        <w:t xml:space="preserve">8.5.1 Rule Definition</w:t>
      </w:r>
    </w:p>
    <w:p>
      <w:pPr>
        <w:pStyle w:val="BodyText"/>
      </w:pPr>
      <w:r>
        <w:rPr>
          <w:rFonts w:ascii="Arial" w:hAnsi="Arial" w:cs="Arial"/>
        </w:rPr>
        <w:t xml:space="preserve">Full traceability · right to object. Parties enjoy complete right to information regarding judicial processes involving themselves—from filing to execution, parties may query case progress, AI analysis conclusions, and evidence collection and usage at every step. Parties not only have the right to be informed but also the right to object to AI analysis conclusions—the objection triggers a human review procedure.</w:t>
      </w:r>
    </w:p>
    <w:p>
      <w:pPr>
        <w:pStyle w:val="BodyText"/>
      </w:pPr>
      <w:r>
        <w:rPr>
          <w:rFonts w:ascii="Arial" w:hAnsi="Arial" w:cs="Arial"/>
          <w:b/>
        </w:rPr>
        <w:t xml:space="preserve">8.5.2 Technical Implementation</w:t>
      </w:r>
    </w:p>
    <w:p>
      <w:pPr>
        <w:pStyle w:val="BodyText"/>
      </w:pPr>
      <w:r>
        <w:rPr>
          <w:rFonts w:ascii="Arial" w:hAnsi="Arial" w:cs="Arial"/>
        </w:rPr>
        <w:t>The right to information is implemented through a “Party Portal”: each party receives an exclusive case portal upon case filing, where they can view case status, collected evidence inventory, AI Reasoning Chain summary, and next steps and timeline in real-time. The portal also provides an objection submission function—parties may object to any AI analysis conclusion, evidence collection action, or procedural arrangement. Upon objection submission, the system automatically assigns a reviewer with a review time limit of 48 hours.</w:t>
      </w:r>
    </w:p>
    <w:p>
      <w:pPr>
        <w:pStyle w:val="BodyText"/>
      </w:pPr>
      <w:r>
        <w:rPr>
          <w:rFonts w:ascii="Arial" w:hAnsi="Arial" w:cs="Arial"/>
          <w:b/>
        </w:rPr>
        <w:t xml:space="preserve">8.5.3 Verification Method</w:t>
      </w:r>
    </w:p>
    <w:p>
      <w:pPr>
        <w:pStyle w:val="BodyText"/>
      </w:pPr>
      <w:r>
        <w:rPr>
          <w:rFonts w:ascii="Arial" w:hAnsi="Arial" w:cs="Arial"/>
        </w:rPr>
        <w:t>Verification adopts “party feedback + audit checks”: quarterly statistics on party satisfaction with the right to information; the Ethics Audit Board regularly checks the functional completeness and information timeliness of party portals; checks the timeliness and effectiveness of objection handling.</w:t>
      </w:r>
    </w:p>
    <w:p>
      <w:pPr>
        <w:pStyle w:val="BodyText"/>
      </w:pPr>
      <w:r>
        <w:rPr>
          <w:rFonts w:ascii="Arial" w:hAnsi="Arial" w:cs="Arial"/>
          <w:b/>
        </w:rPr>
        <w:t xml:space="preserve">8.5.4 Consequences of Violation</w:t>
      </w:r>
    </w:p>
    <w:p>
      <w:pPr>
        <w:pStyle w:val="BodyText"/>
      </w:pPr>
      <w:r>
        <w:rPr>
          <w:rFonts w:ascii="Arial" w:hAnsi="Arial" w:cs="Arial"/>
        </w:rPr>
        <w:t xml:space="preserve">If the party’s right to information is found to be violated (information not updated promptly, objections not processed promptly, etc.): proceedings in the relevant case are suspended until the right to information issue is resolved; the maintenance team of the right-to-information protection mechanism undergoes review; modules that violate the right-to-information guarantee twice consecutively automatically operate in degraded mode.</w:t>
      </w:r>
    </w:p>
    <w:p>
      <w:pPr>
        <w:pStyle w:val="BodyText"/>
      </w:pPr>
      <w:r>
        <w:rPr>
          <w:rFonts w:ascii="Arial" w:hAnsi="Arial" w:cs="Arial"/>
          <w:b/>
        </w:rPr>
        <w:t xml:space="preserve">8.6 Guardrail Six: Mandatory Code Open-Sourcing</w:t>
      </w:r>
    </w:p>
    <w:p>
      <w:pPr>
        <w:pStyle w:val="BodyText"/>
      </w:pPr>
      <w:r>
        <w:rPr>
          <w:rFonts w:ascii="Arial" w:hAnsi="Arial" w:cs="Arial"/>
          <w:b/>
        </w:rPr>
        <w:t xml:space="preserve">8.6.1 Rule Definition</w:t>
      </w:r>
    </w:p>
    <w:p>
      <w:pPr>
        <w:pStyle w:val="BodyText"/>
      </w:pPr>
      <w:r>
        <w:rPr>
          <w:rFonts w:ascii="Arial" w:hAnsi="Arial" w:cs="Arial"/>
        </w:rPr>
        <w:t>Anyone may independently audit. All code of the judicial system (including AI reasoning engines, evidence collection engines, jury systems, bias monitoring systems, etc.) must be released in an open-source manner, and any citizen or organization may independently review the code to verify whether the system’s behavior conforms to specifications. The scope of open-sourcing includes not only application-layer code but also AI model architecture descriptions, training data summaries, and evaluation results. The logic of this rule is: judicial power is public power, and tools used to exercise public power must be transparent to the public—“black-box justice” is unacceptable in DAOTONG.</w:t>
      </w:r>
    </w:p>
    <w:p>
      <w:pPr>
        <w:pStyle w:val="BodyText"/>
      </w:pPr>
      <w:r>
        <w:rPr>
          <w:rFonts w:ascii="Arial" w:hAnsi="Arial" w:cs="Arial"/>
          <w:b/>
        </w:rPr>
        <w:t xml:space="preserve">8.6.2 Technical Implementation</w:t>
      </w:r>
    </w:p>
    <w:p>
      <w:pPr>
        <w:pStyle w:val="BodyText"/>
      </w:pPr>
      <w:r>
        <w:rPr>
          <w:rFonts w:ascii="Arial" w:hAnsi="Arial" w:cs="Arial"/>
        </w:rPr>
        <w:t>Code open-sourcing adopts a “three-layer open-source” strategy: Layer 1 is Application Code—all application-layer code is publicly available in the official code repository, using the AGPL-3.0 license; Layer 2 is Model Description—the AI model’s architecture, hyperparameters, and evaluation results are publicly available in the form of technical reports, but model weights are not included (to prevent malicious use); Layer 3 is Data Summary—statistical summaries of training data, sampling methods, and bias assessments are public, but original training data is not included (for privacy protection). Every commit to the code repository undergoes review by the Ethics Audit Board to ensure no backdoors or security vulnerabilities have been introduced.</w:t>
      </w:r>
    </w:p>
    <w:p>
      <w:pPr>
        <w:pStyle w:val="BodyText"/>
      </w:pPr>
      <w:r>
        <w:rPr>
          <w:rFonts w:ascii="Arial" w:hAnsi="Arial" w:cs="Arial"/>
          <w:b/>
        </w:rPr>
        <w:t xml:space="preserve">8.6.3 Verification Method</w:t>
      </w:r>
    </w:p>
    <w:p>
      <w:pPr>
        <w:pStyle w:val="BodyText"/>
      </w:pPr>
      <w:r>
        <w:rPr>
          <w:rFonts w:ascii="Arial" w:hAnsi="Arial" w:cs="Arial"/>
        </w:rPr>
        <w:t>Verification adopts “community audit + bug bounty program”: independent developers and security researchers are encouraged to review code, with those discovering vulnerabilities or non-compliant implementations eligible for bounties; the Ethics Audit Board organizes a “code audit marathon” every six months, inviting external experts to focus on reviewing core modules; all discovered vulnerabilities and fix records are public in the official vulnerability tracking system.</w:t>
      </w:r>
    </w:p>
    <w:p>
      <w:pPr>
        <w:pStyle w:val="BodyText"/>
      </w:pPr>
      <w:r>
        <w:rPr>
          <w:rFonts w:ascii="Arial" w:hAnsi="Arial" w:cs="Arial"/>
          <w:b/>
        </w:rPr>
        <w:t xml:space="preserve">8.6.4 Consequences of Violation</w:t>
      </w:r>
    </w:p>
    <w:p>
      <w:pPr>
        <w:pStyle w:val="BodyText"/>
      </w:pPr>
      <w:r>
        <w:rPr>
          <w:rFonts w:ascii="Arial" w:hAnsi="Arial" w:cs="Arial"/>
        </w:rPr>
        <w:t xml:space="preserve">If backdoors, security vulnerabilities, or implementations non-compliant with specifications are found in the code: the module is immediately suspended; upon vulnerability fix, the module may only resume after passing dual review by both the Ethics Audit Board and the community; responsible parties undergo investigation and disciplinary action; during the vulnerability fix period, the affected module’s functions are replaced by manual processes.</w:t>
      </w:r>
    </w:p>
    <w:p>
      <w:pPr>
        <w:pStyle w:val="BodyText"/>
      </w:pPr>
      <w:r>
        <w:rPr>
          <w:rFonts w:ascii="Arial" w:hAnsi="Arial" w:cs="Arial"/>
          <w:b/>
        </w:rPr>
        <w:t xml:space="preserve">8.7 Overview of Six Guardrails</w:t>
      </w:r>
    </w:p>
    <w:tbl>
      <w:tblPr>
        <w:tblStyle w:val="Table"/>
        <w:tblW w:type="pct" w:w="5000.0"/>
        <w:tblLook w:firstRow="0"/>
      </w:tblPr>
      <w:tblGrid>
        <w:gridCol w:w="1440"/>
        <w:gridCol w:w="1760"/>
        <w:gridCol w:w="1520"/>
        <w:gridCol w:w="1520"/>
        <w:gridCol w:w="1680"/>
      </w:tblGrid>
      <w:tr>
        <w:tc>
          <w:p>
            <w:pPr>
              <w:pStyle w:val="Compact"/>
              <w:jc w:val="left"/>
            </w:pPr>
            <w:r>
              <w:rPr>
                <w:rFonts w:ascii="Arial" w:hAnsi="Arial" w:cs="Arial"/>
                <w:b/>
              </w:rPr>
              <w:t xml:space="preserve">Guardrail</w:t>
            </w:r>
          </w:p>
        </w:tc>
        <w:tc>
          <w:p>
            <w:pPr>
              <w:pStyle w:val="Compact"/>
              <w:jc w:val="left"/>
            </w:pPr>
            <w:r>
              <w:rPr>
                <w:rFonts w:ascii="Arial" w:hAnsi="Arial" w:cs="Arial"/>
                <w:b/>
              </w:rPr>
              <w:t xml:space="preserve">Core Rule</w:t>
            </w:r>
          </w:p>
        </w:tc>
        <w:tc>
          <w:p>
            <w:pPr>
              <w:pStyle w:val="Compact"/>
              <w:jc w:val="left"/>
            </w:pPr>
            <w:r>
              <w:rPr>
                <w:rFonts w:ascii="Arial" w:hAnsi="Arial" w:cs="Arial"/>
                <w:b/>
              </w:rPr>
              <w:t xml:space="preserve">Technical Implementation</w:t>
            </w:r>
          </w:p>
        </w:tc>
        <w:tc>
          <w:p>
            <w:pPr>
              <w:pStyle w:val="Compact"/>
              <w:jc w:val="left"/>
            </w:pPr>
            <w:r>
              <w:rPr>
                <w:rFonts w:ascii="Arial" w:hAnsi="Arial" w:cs="Arial"/>
                <w:b/>
              </w:rPr>
              <w:t xml:space="preserve">Verification Method</w:t>
            </w:r>
          </w:p>
        </w:tc>
        <w:tc>
          <w:p>
            <w:pPr>
              <w:pStyle w:val="Compact"/>
              <w:jc w:val="left"/>
            </w:pPr>
            <w:r>
              <w:rPr>
                <w:rFonts w:ascii="Arial" w:hAnsi="Arial" w:cs="Arial"/>
                <w:b/>
              </w:rPr>
              <w:t xml:space="preserve">Consequences of Violation</w:t>
            </w:r>
          </w:p>
        </w:tc>
      </w:tr>
      <w:tr>
        <w:tc>
          <w:p>
            <w:pPr>
              <w:pStyle w:val="Compact"/>
              <w:jc w:val="left"/>
            </w:pPr>
            <w:r>
              <w:rPr>
                <w:rFonts w:ascii="Arial" w:hAnsi="Arial" w:cs="Arial"/>
              </w:rPr>
              <w:t xml:space="preserve">One: AI Cannot Render Final Decisions</w:t>
            </w:r>
          </w:p>
        </w:tc>
        <w:tc>
          <w:p>
            <w:pPr>
              <w:pStyle w:val="Compact"/>
              <w:jc w:val="left"/>
            </w:pPr>
            <w:r>
              <w:rPr>
                <w:rFonts w:ascii="Arial" w:hAnsi="Arial" w:cs="Arial"/>
              </w:rPr>
              <w:t xml:space="preserve">Any case requires human confirmation</w:t>
            </w:r>
          </w:p>
        </w:tc>
        <w:tc>
          <w:p>
            <w:pPr>
              <w:pStyle w:val="Compact"/>
              <w:jc w:val="left"/>
            </w:pPr>
            <w:r>
              <w:rPr>
                <w:rFonts w:ascii="Arial" w:hAnsi="Arial" w:cs="Arial"/>
              </w:rPr>
              <w:t xml:space="preserve">Dual-signature mechanism</w:t>
            </w:r>
          </w:p>
        </w:tc>
        <w:tc>
          <w:p>
            <w:pPr>
              <w:pStyle w:val="Compact"/>
              <w:jc w:val="left"/>
            </w:pPr>
            <w:r>
              <w:rPr>
                <w:rFonts w:ascii="Arial" w:hAnsi="Arial" w:cs="Arial"/>
              </w:rPr>
              <w:t xml:space="preserve">Spot-check + audit</w:t>
            </w:r>
          </w:p>
        </w:tc>
        <w:tc>
          <w:p>
            <w:pPr>
              <w:pStyle w:val="Compact"/>
              <w:jc w:val="left"/>
            </w:pPr>
            <w:r>
              <w:rPr>
                <w:rFonts w:ascii="Arial" w:hAnsi="Arial" w:cs="Arial"/>
              </w:rPr>
              <w:t xml:space="preserve">Ruling invalid + remanded</w:t>
            </w:r>
          </w:p>
        </w:tc>
      </w:tr>
      <w:tr>
        <w:tc>
          <w:p>
            <w:pPr>
              <w:pStyle w:val="Compact"/>
              <w:jc w:val="left"/>
            </w:pPr>
            <w:r>
              <w:rPr>
                <w:rFonts w:ascii="Arial" w:hAnsi="Arial" w:cs="Arial"/>
              </w:rPr>
              <w:t xml:space="preserve">Two: Reasoning Chain Disclosure</w:t>
            </w:r>
          </w:p>
        </w:tc>
        <w:tc>
          <w:p>
            <w:pPr>
              <w:pStyle w:val="Compact"/>
              <w:jc w:val="left"/>
            </w:pPr>
            <w:r>
              <w:rPr>
                <w:rFonts w:ascii="Arial" w:hAnsi="Arial" w:cs="Arial"/>
              </w:rPr>
              <w:t xml:space="preserve">Black-box decision-making absolutely prohibited</w:t>
            </w:r>
          </w:p>
        </w:tc>
        <w:tc>
          <w:p>
            <w:pPr>
              <w:pStyle w:val="Compact"/>
              <w:jc w:val="left"/>
            </w:pPr>
            <w:r>
              <w:rPr>
                <w:rFonts w:ascii="Arial" w:hAnsi="Arial" w:cs="Arial"/>
              </w:rPr>
              <w:t xml:space="preserve">Three-layer disclosure assurance</w:t>
            </w:r>
          </w:p>
        </w:tc>
        <w:tc>
          <w:p>
            <w:pPr>
              <w:pStyle w:val="Compact"/>
              <w:jc w:val="left"/>
            </w:pPr>
            <w:r>
              <w:rPr>
                <w:rFonts w:ascii="Arial" w:hAnsi="Arial" w:cs="Arial"/>
              </w:rPr>
              <w:t xml:space="preserve">Completeness + explainability</w:t>
            </w:r>
          </w:p>
        </w:tc>
        <w:tc>
          <w:p>
            <w:pPr>
              <w:pStyle w:val="Compact"/>
              <w:jc w:val="left"/>
            </w:pPr>
            <w:r>
              <w:rPr>
                <w:rFonts w:ascii="Arial" w:hAnsi="Arial" w:cs="Arial"/>
              </w:rPr>
              <w:t xml:space="preserve">Suspended execution + supplement Reasoning Chain</w:t>
            </w:r>
          </w:p>
        </w:tc>
      </w:tr>
      <w:tr>
        <w:tc>
          <w:p>
            <w:pPr>
              <w:pStyle w:val="Compact"/>
              <w:jc w:val="left"/>
            </w:pPr>
            <w:r>
              <w:rPr>
                <w:rFonts w:ascii="Arial" w:hAnsi="Arial" w:cs="Arial"/>
              </w:rPr>
              <w:t xml:space="preserve">Three: Bias Monitoring</w:t>
            </w:r>
          </w:p>
        </w:tc>
        <w:tc>
          <w:p>
            <w:pPr>
              <w:pStyle w:val="Compact"/>
              <w:jc w:val="left"/>
            </w:pPr>
            <w:r>
              <w:rPr>
                <w:rFonts w:ascii="Arial" w:hAnsi="Arial" w:cs="Arial"/>
              </w:rPr>
              <w:t xml:space="preserve">Cross-group fairness verification</w:t>
            </w:r>
          </w:p>
        </w:tc>
        <w:tc>
          <w:p>
            <w:pPr>
              <w:pStyle w:val="Compact"/>
              <w:jc w:val="left"/>
            </w:pPr>
            <w:r>
              <w:rPr>
                <w:rFonts w:ascii="Arial" w:hAnsi="Arial" w:cs="Arial"/>
              </w:rPr>
              <w:t xml:space="preserve">Sliding window + three-level warning</w:t>
            </w:r>
          </w:p>
        </w:tc>
        <w:tc>
          <w:p>
            <w:pPr>
              <w:pStyle w:val="Compact"/>
              <w:jc w:val="left"/>
            </w:pPr>
            <w:r>
              <w:rPr>
                <w:rFonts w:ascii="Arial" w:hAnsi="Arial" w:cs="Arial"/>
              </w:rPr>
              <w:t xml:space="preserve">Adversarial testing</w:t>
            </w:r>
          </w:p>
        </w:tc>
        <w:tc>
          <w:p>
            <w:pPr>
              <w:pStyle w:val="Compact"/>
              <w:jc w:val="left"/>
            </w:pPr>
            <w:r>
              <w:rPr>
                <w:rFonts w:ascii="Arial" w:hAnsi="Arial" w:cs="Arial"/>
              </w:rPr>
              <w:t xml:space="preserve">Batch correction + module degradation</w:t>
            </w:r>
          </w:p>
        </w:tc>
      </w:tr>
      <w:tr>
        <w:tc>
          <w:p>
            <w:pPr>
              <w:pStyle w:val="Compact"/>
              <w:jc w:val="left"/>
            </w:pPr>
            <w:r>
              <w:rPr>
                <w:rFonts w:ascii="Arial" w:hAnsi="Arial" w:cs="Arial"/>
              </w:rPr>
              <w:t xml:space="preserve">Four: Data Minimization</w:t>
            </w:r>
          </w:p>
        </w:tc>
        <w:tc>
          <w:p>
            <w:pPr>
              <w:pStyle w:val="Compact"/>
              <w:jc w:val="left"/>
            </w:pPr>
            <w:r>
              <w:rPr>
                <w:rFonts w:ascii="Arial" w:hAnsi="Arial" w:cs="Arial"/>
              </w:rPr>
              <w:t xml:space="preserve">Over-collection automatically rejected</w:t>
            </w:r>
          </w:p>
        </w:tc>
        <w:tc>
          <w:p>
            <w:pPr>
              <w:pStyle w:val="Compact"/>
              <w:jc w:val="left"/>
            </w:pPr>
            <w:r>
              <w:rPr>
                <w:rFonts w:ascii="Arial" w:hAnsi="Arial" w:cs="Arial"/>
              </w:rPr>
              <w:t xml:space="preserve">Collection authorization protocol</w:t>
            </w:r>
          </w:p>
        </w:tc>
        <w:tc>
          <w:p>
            <w:pPr>
              <w:pStyle w:val="Compact"/>
              <w:jc w:val="left"/>
            </w:pPr>
            <w:r>
              <w:rPr>
                <w:rFonts w:ascii="Arial" w:hAnsi="Arial" w:cs="Arial"/>
              </w:rPr>
              <w:t xml:space="preserve">Audit sampling + privacy assessment</w:t>
            </w:r>
          </w:p>
        </w:tc>
        <w:tc>
          <w:p>
            <w:pPr>
              <w:pStyle w:val="Compact"/>
              <w:jc w:val="left"/>
            </w:pPr>
            <w:r>
              <w:rPr>
                <w:rFonts w:ascii="Arial" w:hAnsi="Arial" w:cs="Arial"/>
              </w:rPr>
              <w:t xml:space="preserve">Data destruction + ruling review</w:t>
            </w:r>
          </w:p>
        </w:tc>
      </w:tr>
      <w:tr>
        <w:tc>
          <w:p>
            <w:pPr>
              <w:pStyle w:val="Compact"/>
              <w:jc w:val="left"/>
            </w:pPr>
            <w:r>
              <w:rPr>
                <w:rFonts w:ascii="Arial" w:hAnsi="Arial" w:cs="Arial"/>
              </w:rPr>
              <w:t xml:space="preserve">Five: Party’s Right to Information</w:t>
            </w:r>
          </w:p>
        </w:tc>
        <w:tc>
          <w:p>
            <w:pPr>
              <w:pStyle w:val="Compact"/>
              <w:jc w:val="left"/>
            </w:pPr>
            <w:r>
              <w:rPr>
                <w:rFonts w:ascii="Arial" w:hAnsi="Arial" w:cs="Arial"/>
              </w:rPr>
              <w:t xml:space="preserve">Full traceability, right to object</w:t>
            </w:r>
          </w:p>
        </w:tc>
        <w:tc>
          <w:p>
            <w:pPr>
              <w:pStyle w:val="Compact"/>
              <w:jc w:val="left"/>
            </w:pPr>
            <w:r>
              <w:rPr>
                <w:rFonts w:ascii="Arial" w:hAnsi="Arial" w:cs="Arial"/>
              </w:rPr>
              <w:t xml:space="preserve">Party portal</w:t>
            </w:r>
          </w:p>
        </w:tc>
        <w:tc>
          <w:p>
            <w:pPr>
              <w:pStyle w:val="Compact"/>
              <w:jc w:val="left"/>
            </w:pPr>
            <w:r>
              <w:rPr>
                <w:rFonts w:ascii="Arial" w:hAnsi="Arial" w:cs="Arial"/>
              </w:rPr>
              <w:t xml:space="preserve">Feedback + audit</w:t>
            </w:r>
          </w:p>
        </w:tc>
        <w:tc>
          <w:p>
            <w:pPr>
              <w:pStyle w:val="Compact"/>
              <w:jc w:val="left"/>
            </w:pPr>
            <w:r>
              <w:rPr>
                <w:rFonts w:ascii="Arial" w:hAnsi="Arial" w:cs="Arial"/>
              </w:rPr>
              <w:t xml:space="preserve">Suspended proceedings + degraded operation</w:t>
            </w:r>
          </w:p>
        </w:tc>
      </w:tr>
      <w:tr>
        <w:tc>
          <w:p>
            <w:pPr>
              <w:pStyle w:val="Compact"/>
              <w:jc w:val="left"/>
            </w:pPr>
            <w:r>
              <w:rPr>
                <w:rFonts w:ascii="Arial" w:hAnsi="Arial" w:cs="Arial"/>
              </w:rPr>
              <w:t xml:space="preserve">Six: Code Open-Sourcing</w:t>
            </w:r>
          </w:p>
        </w:tc>
        <w:tc>
          <w:p>
            <w:pPr>
              <w:pStyle w:val="Compact"/>
              <w:jc w:val="left"/>
            </w:pPr>
            <w:r>
              <w:rPr>
                <w:rFonts w:ascii="Arial" w:hAnsi="Arial" w:cs="Arial"/>
              </w:rPr>
              <w:t xml:space="preserve">Anyone may independently audit</w:t>
            </w:r>
          </w:p>
        </w:tc>
        <w:tc>
          <w:p>
            <w:pPr>
              <w:pStyle w:val="Compact"/>
              <w:jc w:val="left"/>
            </w:pPr>
            <w:r>
              <w:rPr>
                <w:rFonts w:ascii="Arial" w:hAnsi="Arial" w:cs="Arial"/>
              </w:rPr>
              <w:t xml:space="preserve">Three-layer open-source strategy</w:t>
            </w:r>
          </w:p>
        </w:tc>
        <w:tc>
          <w:p>
            <w:pPr>
              <w:pStyle w:val="Compact"/>
              <w:jc w:val="left"/>
            </w:pPr>
            <w:r>
              <w:rPr>
                <w:rFonts w:ascii="Arial" w:hAnsi="Arial" w:cs="Arial"/>
              </w:rPr>
              <w:t xml:space="preserve">Community audit + bug bounty</w:t>
            </w:r>
          </w:p>
        </w:tc>
        <w:tc>
          <w:p>
            <w:pPr>
              <w:pStyle w:val="Compact"/>
              <w:jc w:val="left"/>
            </w:pPr>
            <w:r>
              <w:rPr>
                <w:rFonts w:ascii="Arial" w:hAnsi="Arial" w:cs="Arial"/>
              </w:rPr>
              <w:t xml:space="preserve">Suspended operation + dual review</w:t>
            </w:r>
          </w:p>
        </w:tc>
      </w:tr>
    </w:tbl>
    <w:p>
      <w:pPr>
        <w:pStyle w:val="BodyText"/>
      </w:pPr>
      <w:r>
        <w:rPr>
          <w:rFonts w:ascii="Arial" w:hAnsi="Arial" w:cs="Arial"/>
          <w:b/>
        </w:rPr>
        <w:t xml:space="preserve">Nine, System Interfaces and Integration Specifications</w:t>
      </w:r>
    </w:p>
    <w:p>
      <w:pPr>
        <w:pStyle w:val="Heading1"/>
      </w:pPr>
      <w:bookmarkStart w:id="21" w:name="X0ee1204335efa45047e9fdf99066efdc4e10bea"/>
      <w:r>
        <w:rPr>
          <w:rFonts w:ascii="Arial" w:hAnsi="Arial" w:cs="Arial"/>
        </w:rPr>
        <w:t xml:space="preserve">Chapter 9: Interface Specifications for the Judicial System</w:t>
      </w:r>
      <w:bookmarkEnd w:id="21"/>
    </w:p>
    <w:p>
      <w:pPr>
        <w:pStyle w:val="FirstParagraph"/>
      </w:pPr>
      <w:r>
        <w:rPr>
          <w:rFonts w:ascii="Arial" w:hAnsi="Arial" w:cs="Arial"/>
        </w:rPr>
        <w:t xml:space="preserve">The judicial system requires data exchange and functional coordination with multiple subsystems within the DAOTONG governance architecture. This chapter defines the interface specifications between the judicial system and external systems, ensuring interoperability and data consistency across systems.</w:t>
      </w:r>
    </w:p>
    <w:p>
      <w:pPr>
        <w:pStyle w:val="Heading2"/>
      </w:pPr>
      <w:bookmarkStart w:id="22" w:name="interface-with-alignment-system"/>
      <w:r>
        <w:rPr>
          <w:rFonts w:ascii="Arial" w:hAnsi="Arial" w:cs="Arial"/>
        </w:rPr>
        <w:t xml:space="preserve">9.1 Interface with Alignment System</w:t>
      </w:r>
      <w:bookmarkEnd w:id="22"/>
    </w:p>
    <w:p>
      <w:pPr>
        <w:pStyle w:val="FirstParagraph"/>
      </w:pPr>
      <w:r>
        <w:rPr>
          <w:rFonts w:ascii="Arial" w:hAnsi="Arial" w:cs="Arial"/>
        </w:rPr>
        <w:t xml:space="preserve">The interface between the judicial system and the ethical alignment system constitutes the most critical cross-system connection:</w:t>
      </w:r>
    </w:p>
    <w:p>
      <w:pPr>
        <w:numPr>
          <w:ilvl w:val="0"/>
          <w:numId w:val="1015"/>
        </w:numPr>
      </w:pPr>
      <w:r>
        <w:rPr>
          <w:rFonts w:ascii="Arial" w:hAnsi="Arial" w:cs="Arial"/>
          <w:b/>
        </w:rPr>
        <w:t xml:space="preserve">Ethical Weight Query Interface:</w:t>
      </w:r>
      <w:r>
        <w:rPr>
          <w:rFonts w:ascii="Arial" w:hAnsi="Arial" w:cs="Arial"/>
        </w:rPr>
        <w:t xml:space="preserve"> The adjudication reasoning engine invokes this interface to obtain ethical weight configurations applicable to the current case type. Interface specification: RESTful API, GET method, response time &lt; 50ms.</w:t>
      </w:r>
    </w:p>
    <w:p>
      <w:pPr>
        <w:numPr>
          <w:ilvl w:val="0"/>
          <w:numId w:val="1015"/>
        </w:numPr>
      </w:pPr>
      <w:r>
        <w:rPr>
          <w:rFonts w:ascii="Arial" w:hAnsi="Arial" w:cs="Arial"/>
          <w:b/>
        </w:rPr>
        <w:t xml:space="preserve">Constitutional Compliance Check Interface:</w:t>
      </w:r>
      <w:r>
        <w:rPr>
          <w:rFonts w:ascii="Arial" w:hAnsi="Arial" w:cs="Arial"/>
        </w:rPr>
        <w:t xml:space="preserve"> Adjudication drafts are submitted through this interface for compliance review, obtaining a compliance score. Interface specification: RESTful API, POST method, response time &lt; 200ms.</w:t>
      </w:r>
    </w:p>
    <w:p>
      <w:pPr>
        <w:numPr>
          <w:ilvl w:val="0"/>
          <w:numId w:val="1015"/>
        </w:numPr>
      </w:pPr>
      <w:r>
        <w:rPr>
          <w:rFonts w:ascii="Arial" w:hAnsi="Arial" w:cs="Arial"/>
          <w:b/>
        </w:rPr>
        <w:t xml:space="preserve">Value Drift Detection Data Interface:</w:t>
      </w:r>
      <w:r>
        <w:rPr>
          <w:rFonts w:ascii="Arial" w:hAnsi="Arial" w:cs="Arial"/>
        </w:rPr>
        <w:t xml:space="preserve"> Decision data from the judicial system is synchronized to the drift detection system via this interface for cross-system consistency monitoring. Data format: JSON; synchronization frequency: real-time.</w:t>
      </w:r>
    </w:p>
    <w:p>
      <w:pPr>
        <w:pStyle w:val="Heading2"/>
      </w:pPr>
      <w:bookmarkStart w:id="23" w:name="interface-with-identity-system"/>
      <w:r>
        <w:rPr>
          <w:rFonts w:ascii="Arial" w:hAnsi="Arial" w:cs="Arial"/>
        </w:rPr>
        <w:t xml:space="preserve">9.2 Interface with Identity System</w:t>
      </w:r>
      <w:bookmarkEnd w:id="23"/>
    </w:p>
    <w:p>
      <w:pPr>
        <w:pStyle w:val="FirstParagraph"/>
      </w:pPr>
      <w:r>
        <w:rPr>
          <w:rFonts w:ascii="Arial" w:hAnsi="Arial" w:cs="Arial"/>
        </w:rPr>
        <w:t xml:space="preserve">The judicial system invokes the DAOTONG identity system during case filing and juror selection:</w:t>
      </w:r>
    </w:p>
    <w:p>
      <w:pPr>
        <w:numPr>
          <w:ilvl w:val="0"/>
          <w:numId w:val="1016"/>
        </w:numPr>
      </w:pPr>
      <w:r>
        <w:rPr>
          <w:rFonts w:ascii="Arial" w:hAnsi="Arial" w:cs="Arial"/>
          <w:b/>
        </w:rPr>
        <w:t xml:space="preserve">Identity Verification Interface:</w:t>
      </w:r>
      <w:r>
        <w:rPr>
          <w:rFonts w:ascii="Arial" w:hAnsi="Arial" w:cs="Arial"/>
        </w:rPr>
        <w:t xml:space="preserve"> Verifies the identities of parties involved during case filing. Adopts W3C DID standard, supporting multi-factor authentication.</w:t>
      </w:r>
    </w:p>
    <w:p>
      <w:pPr>
        <w:numPr>
          <w:ilvl w:val="0"/>
          <w:numId w:val="1016"/>
        </w:numPr>
      </w:pPr>
      <w:r>
        <w:rPr>
          <w:rFonts w:ascii="Arial" w:hAnsi="Arial" w:cs="Arial"/>
          <w:b/>
        </w:rPr>
        <w:t xml:space="preserve">Citizen Pool Query Interface:</w:t>
      </w:r>
      <w:r>
        <w:rPr>
          <w:rFonts w:ascii="Arial" w:hAnsi="Arial" w:cs="Arial"/>
        </w:rPr>
        <w:t xml:space="preserve"> Queries the pool of eligible citizens during juror selection. Returns data after desensitization, without exposing detailed personal information of citizens.</w:t>
      </w:r>
    </w:p>
    <w:p>
      <w:pPr>
        <w:numPr>
          <w:ilvl w:val="0"/>
          <w:numId w:val="1016"/>
        </w:numPr>
      </w:pPr>
      <w:r>
        <w:rPr>
          <w:rFonts w:ascii="Arial" w:hAnsi="Arial" w:cs="Arial"/>
          <w:b/>
        </w:rPr>
        <w:t xml:space="preserve">Conflict of Interest Detection Interface:</w:t>
      </w:r>
      <w:r>
        <w:rPr>
          <w:rFonts w:ascii="Arial" w:hAnsi="Arial" w:cs="Arial"/>
        </w:rPr>
        <w:t xml:space="preserve"> Checks associations between candidate jurors and parties. Adopts secure multi-party computation protocol; raw data remains local.</w:t>
      </w:r>
    </w:p>
    <w:p>
      <w:pPr>
        <w:pStyle w:val="Heading2"/>
      </w:pPr>
      <w:bookmarkStart w:id="24" w:name="interface-with-execution-system"/>
      <w:r>
        <w:rPr>
          <w:rFonts w:ascii="Arial" w:hAnsi="Arial" w:cs="Arial"/>
        </w:rPr>
        <w:t xml:space="preserve">9.3 Interface with Execution System</w:t>
      </w:r>
      <w:bookmarkEnd w:id="24"/>
    </w:p>
    <w:p>
      <w:pPr>
        <w:pStyle w:val="FirstParagraph"/>
      </w:pPr>
      <w:r>
        <w:rPr>
          <w:rFonts w:ascii="Arial" w:hAnsi="Arial" w:cs="Arial"/>
        </w:rPr>
        <w:t xml:space="preserve">Upon adjudication taking effect, execution proceeds through the on-chain execution system:</w:t>
      </w:r>
    </w:p>
    <w:p>
      <w:pPr>
        <w:numPr>
          <w:ilvl w:val="0"/>
          <w:numId w:val="1017"/>
        </w:numPr>
      </w:pPr>
      <w:r>
        <w:rPr>
          <w:rFonts w:ascii="Arial" w:hAnsi="Arial" w:cs="Arial"/>
          <w:b/>
        </w:rPr>
        <w:t xml:space="preserve">Adjudication Encoding Interface:</w:t>
      </w:r>
      <w:r>
        <w:rPr>
          <w:rFonts w:ascii="Arial" w:hAnsi="Arial" w:cs="Arial"/>
        </w:rPr>
        <w:t xml:space="preserve"> Encodes adjudication documents into executable smart contracts. Encoding rules are formulated by the Judicial Committee, ensuring accuracy and completeness of encoding.</w:t>
      </w:r>
    </w:p>
    <w:p>
      <w:pPr>
        <w:numPr>
          <w:ilvl w:val="0"/>
          <w:numId w:val="1017"/>
        </w:numPr>
      </w:pPr>
      <w:r>
        <w:rPr>
          <w:rFonts w:ascii="Arial" w:hAnsi="Arial" w:cs="Arial"/>
          <w:b/>
        </w:rPr>
        <w:t xml:space="preserve">Execution Status Query Interface:</w:t>
      </w:r>
      <w:r>
        <w:rPr>
          <w:rFonts w:ascii="Arial" w:hAnsi="Arial" w:cs="Arial"/>
        </w:rPr>
        <w:t xml:space="preserve"> Queries the progress and results of adjudication execution. Real-time updates, supporting push notifications.</w:t>
      </w:r>
    </w:p>
    <w:p>
      <w:pPr>
        <w:numPr>
          <w:ilvl w:val="0"/>
          <w:numId w:val="1017"/>
        </w:numPr>
      </w:pPr>
      <w:r>
        <w:rPr>
          <w:rFonts w:ascii="Arial" w:hAnsi="Arial" w:cs="Arial"/>
          <w:b/>
        </w:rPr>
        <w:t xml:space="preserve">Execution Objection Interface:</w:t>
      </w:r>
      <w:r>
        <w:rPr>
          <w:rFonts w:ascii="Arial" w:hAnsi="Arial" w:cs="Arial"/>
        </w:rPr>
        <w:t xml:space="preserve"> Channel for parties to raise objections to the execution process. Objections accepted within 48 hours of submission.</w:t>
      </w:r>
    </w:p>
    <w:p>
      <w:pPr>
        <w:pStyle w:val="Heading2"/>
      </w:pPr>
      <w:bookmarkStart w:id="25" w:name="interface-security-specifications"/>
      <w:r>
        <w:rPr>
          <w:rFonts w:ascii="Arial" w:hAnsi="Arial" w:cs="Arial"/>
        </w:rPr>
        <w:t xml:space="preserve">9.4 Interface Security Specifications</w:t>
      </w:r>
      <w:bookmarkEnd w:id="25"/>
    </w:p>
    <w:p>
      <w:pPr>
        <w:pStyle w:val="FirstParagraph"/>
      </w:pPr>
      <w:r>
        <w:rPr>
          <w:rFonts w:ascii="Arial" w:hAnsi="Arial" w:cs="Arial"/>
        </w:rPr>
        <w:t xml:space="preserve">All interface communications employ end-to-end encryption (TLS 1.3), with keys managed by the distributed key management system. Interface access adopts Role-Based Access Control (RBAC), with strict separation of permissions for different roles. All interface invocations maintain complete audit logs, with logs adopting the same hash fixation mechanism as evidence, ensuring immutability. Interface modifications require technical review by the Judicial Committee and approval by the Elder Council.</w:t>
      </w:r>
    </w:p>
    <w:p>
      <w:pPr>
        <w:pStyle w:val="Heading2"/>
      </w:pPr>
      <w:bookmarkStart w:id="26" w:name="appendices"/>
      <w:r>
        <w:rPr>
          <w:rFonts w:ascii="Arial" w:hAnsi="Arial" w:cs="Arial"/>
        </w:rPr>
        <w:t xml:space="preserve">10. Appendices</w:t>
      </w:r>
      <w:bookmarkEnd w:id="26"/>
    </w:p>
    <w:p>
      <w:pPr>
        <w:pStyle w:val="Heading3"/>
      </w:pPr>
      <w:bookmarkStart w:id="27" w:name="appendix-a-glossary"/>
      <w:r>
        <w:rPr>
          <w:rFonts w:ascii="Arial" w:hAnsi="Arial" w:cs="Arial"/>
        </w:rPr>
        <w:t xml:space="preserve">Appendix A: Glossary</w:t>
      </w:r>
      <w:bookmarkEnd w:id="27"/>
    </w:p>
    <w:tbl>
      <w:tblPr>
        <w:tblStyle w:val="Table"/>
        <w:tblW w:type="pct" w:w="5000.0"/>
        <w:tblLook w:firstRow="0"/>
      </w:tblPr>
      <w:tblGrid>
        <w:gridCol w:w="1732"/>
        <w:gridCol w:w="6187"/>
      </w:tblGrid>
      <w:tr>
        <w:tc>
          <w:p>
            <w:pPr>
              <w:pStyle w:val="Compact"/>
              <w:jc w:val="left"/>
            </w:pPr>
            <w:r>
              <w:rPr>
                <w:rFonts w:ascii="Arial" w:hAnsi="Arial" w:cs="Arial"/>
                <w:b/>
              </w:rPr>
              <w:t xml:space="preserve">Term</w:t>
            </w:r>
          </w:p>
        </w:tc>
        <w:tc>
          <w:p>
            <w:pPr>
              <w:pStyle w:val="Compact"/>
              <w:jc w:val="left"/>
            </w:pPr>
            <w:r>
              <w:rPr>
                <w:rFonts w:ascii="Arial" w:hAnsi="Arial" w:cs="Arial"/>
                <w:b/>
              </w:rPr>
              <w:t xml:space="preserve">Definition</w:t>
            </w:r>
          </w:p>
        </w:tc>
      </w:tr>
      <w:tr>
        <w:tc>
          <w:p>
            <w:pPr>
              <w:pStyle w:val="Compact"/>
              <w:jc w:val="left"/>
            </w:pPr>
            <w:r>
              <w:rPr>
                <w:rFonts w:ascii="Arial" w:hAnsi="Arial" w:cs="Arial"/>
              </w:rPr>
              <w:t xml:space="preserve">VRF</w:t>
            </w:r>
          </w:p>
        </w:tc>
        <w:tc>
          <w:p>
            <w:pPr>
              <w:pStyle w:val="Compact"/>
              <w:jc w:val="left"/>
            </w:pPr>
            <w:r>
              <w:rPr>
                <w:rFonts w:ascii="Arial" w:hAnsi="Arial" w:cs="Arial"/>
              </w:rPr>
              <w:t xml:space="preserve">Verifiable Random Function, a cryptographic primitive ensuring verifiable randomness</w:t>
            </w:r>
          </w:p>
        </w:tc>
      </w:tr>
      <w:tr>
        <w:tc>
          <w:p>
            <w:pPr>
              <w:pStyle w:val="Compact"/>
              <w:jc w:val="left"/>
            </w:pPr>
            <w:r>
              <w:rPr>
                <w:rFonts w:ascii="Arial" w:hAnsi="Arial" w:cs="Arial"/>
              </w:rPr>
              <w:t xml:space="preserve">MSCVP</w:t>
            </w:r>
          </w:p>
        </w:tc>
        <w:tc>
          <w:p>
            <w:pPr>
              <w:pStyle w:val="Compact"/>
              <w:jc w:val="left"/>
            </w:pPr>
            <w:r>
              <w:rPr>
                <w:rFonts w:ascii="Arial" w:hAnsi="Arial" w:cs="Arial"/>
              </w:rPr>
              <w:t xml:space="preserve">Multi-Source Consistency Verification Protocol, used for evidence cross-verification</w:t>
            </w:r>
          </w:p>
        </w:tc>
      </w:tr>
      <w:tr>
        <w:tc>
          <w:p>
            <w:pPr>
              <w:pStyle w:val="Compact"/>
              <w:jc w:val="left"/>
            </w:pPr>
            <w:r>
              <w:rPr>
                <w:rFonts w:ascii="Arial" w:hAnsi="Arial" w:cs="Arial"/>
              </w:rPr>
              <w:t xml:space="preserve">Reasoning Chain</w:t>
            </w:r>
          </w:p>
        </w:tc>
        <w:tc>
          <w:p>
            <w:pPr>
              <w:pStyle w:val="Compact"/>
              <w:jc w:val="left"/>
            </w:pPr>
            <w:r>
              <w:rPr>
                <w:rFonts w:ascii="Arial" w:hAnsi="Arial" w:cs="Arial"/>
              </w:rPr>
              <w:t xml:space="preserve">Complete structured record of AI adjudication reasoning, including reasoning steps and confidence levels</w:t>
            </w:r>
          </w:p>
        </w:tc>
      </w:tr>
      <w:tr>
        <w:tc>
          <w:p>
            <w:pPr>
              <w:pStyle w:val="Compact"/>
              <w:jc w:val="left"/>
            </w:pPr>
            <w:r>
              <w:rPr>
                <w:rFonts w:ascii="Arial" w:hAnsi="Arial" w:cs="Arial"/>
              </w:rPr>
              <w:t xml:space="preserve">Confidence Score</w:t>
            </w:r>
          </w:p>
        </w:tc>
        <w:tc>
          <w:p>
            <w:pPr>
              <w:pStyle w:val="Compact"/>
              <w:jc w:val="left"/>
            </w:pPr>
            <w:r>
              <w:rPr>
                <w:rFonts w:ascii="Arial" w:hAnsi="Arial" w:cs="Arial"/>
              </w:rPr>
              <w:t xml:space="preserve">Quantitative assessment by AI of the reliability of its adjudication conclusions, ranging from 0.00 to 1.00</w:t>
            </w:r>
          </w:p>
        </w:tc>
      </w:tr>
      <w:tr>
        <w:tc>
          <w:p>
            <w:pPr>
              <w:pStyle w:val="Compact"/>
              <w:jc w:val="left"/>
            </w:pPr>
            <w:r>
              <w:rPr>
                <w:rFonts w:ascii="Arial" w:hAnsi="Arial" w:cs="Arial"/>
              </w:rPr>
              <w:t xml:space="preserve">Dual Signature Mechanism</w:t>
            </w:r>
          </w:p>
        </w:tc>
        <w:tc>
          <w:p>
            <w:pPr>
              <w:pStyle w:val="Compact"/>
              <w:jc w:val="left"/>
            </w:pPr>
            <w:r>
              <w:rPr>
                <w:rFonts w:ascii="Arial" w:hAnsi="Arial" w:cs="Arial"/>
              </w:rPr>
              <w:t xml:space="preserve">Adjudication documents become effective only when accompanied by both AI and human signatures</w:t>
            </w:r>
          </w:p>
        </w:tc>
      </w:tr>
      <w:tr>
        <w:tc>
          <w:p>
            <w:pPr>
              <w:pStyle w:val="Compact"/>
              <w:jc w:val="left"/>
            </w:pPr>
            <w:r>
              <w:rPr>
                <w:rFonts w:ascii="Arial" w:hAnsi="Arial" w:cs="Arial"/>
              </w:rPr>
              <w:t xml:space="preserve">Sliding Window Statistics</w:t>
            </w:r>
          </w:p>
        </w:tc>
        <w:tc>
          <w:p>
            <w:pPr>
              <w:pStyle w:val="Compact"/>
              <w:jc w:val="left"/>
            </w:pPr>
            <w:r>
              <w:rPr>
                <w:rFonts w:ascii="Arial" w:hAnsi="Arial" w:cs="Arial"/>
              </w:rPr>
              <w:t xml:space="preserve">Real-time monitoring method that continuously calculates statistical indicators within a fixed time window</w:t>
            </w:r>
          </w:p>
        </w:tc>
      </w:tr>
      <w:tr>
        <w:tc>
          <w:p>
            <w:pPr>
              <w:pStyle w:val="Compact"/>
              <w:jc w:val="left"/>
            </w:pPr>
            <w:r>
              <w:rPr>
                <w:rFonts w:ascii="Arial" w:hAnsi="Arial" w:cs="Arial"/>
              </w:rPr>
              <w:t xml:space="preserve">Three-Tier Open Source</w:t>
            </w:r>
          </w:p>
        </w:tc>
        <w:tc>
          <w:p>
            <w:pPr>
              <w:pStyle w:val="Compact"/>
              <w:jc w:val="left"/>
            </w:pPr>
            <w:r>
              <w:rPr>
                <w:rFonts w:ascii="Arial" w:hAnsi="Arial" w:cs="Arial"/>
              </w:rPr>
              <w:t xml:space="preserve">Open-source strategy across three levels: application code, model description, and data summary</w:t>
            </w:r>
          </w:p>
        </w:tc>
      </w:tr>
    </w:tbl>
    <w:p>
      <w:pPr>
        <w:pStyle w:val="Heading3"/>
      </w:pPr>
      <w:bookmarkStart w:id="28" w:name="appendix-b-case-simulations"/>
      <w:r>
        <w:rPr>
          <w:rFonts w:ascii="Arial" w:hAnsi="Arial" w:cs="Arial"/>
        </w:rPr>
        <w:t xml:space="preserve">Appendix B: Case Simulations</w:t>
      </w:r>
      <w:bookmarkEnd w:id="28"/>
    </w:p>
    <w:p>
      <w:pPr>
        <w:pStyle w:val="FirstParagraph"/>
      </w:pPr>
      <w:r>
        <w:rPr>
          <w:rFonts w:ascii="Arial" w:hAnsi="Arial" w:cs="Arial"/>
          <w:b/>
        </w:rPr>
        <w:t xml:space="preserve">Case 1: Small-Value Consumer Dispute (Category 1 Case)</w:t>
      </w:r>
    </w:p>
    <w:p>
      <w:pPr>
        <w:pStyle w:val="BodyText"/>
      </w:pPr>
      <w:r>
        <w:rPr>
          <w:rFonts w:ascii="Arial" w:hAnsi="Arial" w:cs="Arial"/>
        </w:rPr>
        <w:t xml:space="preserve">Scenario: Consumer A purchased goods from merchant B. Upon receipt, Consumer A believed the goods did not match the description and requested a refund, which the merchant refused. Dispute amount: 1,200 DAOTONG tokens. Processing flow: Consumer A submits case filing application → System performs automatic formal review → ID verification passed → Evidence collection engine automatically gathers transaction records, product description screenshots, and logistics information → Evidence verification passed → Reasoning chain engine generates adjudication draft (refund plus 20% compensation) → Human judge provides formal confirmation → On-chain execution of refund. Total time: 2 business days.</w:t>
      </w:r>
    </w:p>
    <w:p>
      <w:pPr>
        <w:pStyle w:val="BodyText"/>
      </w:pPr>
      <w:r>
        <w:rPr>
          <w:rFonts w:ascii="Arial" w:hAnsi="Arial" w:cs="Arial"/>
          <w:b/>
        </w:rPr>
        <w:t xml:space="preserve">Case 2: Labor Dispute (Category 2 Case)</w:t>
      </w:r>
    </w:p>
    <w:p>
      <w:pPr>
        <w:pStyle w:val="BodyText"/>
      </w:pPr>
      <w:r>
        <w:rPr>
          <w:rFonts w:ascii="Arial" w:hAnsi="Arial" w:cs="Arial"/>
        </w:rPr>
        <w:t xml:space="preserve">Scenario: Employee C believes that Company D unlawfully terminated the labor contract and demands compensation. Dispute amount: 180,000 DAOTONG tokens. Processing flow: Employee C submits case filing → ID verification → Evidence collection (on-chain salary records, contract terms, corporate governance records) → Evidence verification → Reasoning chain generates draft (supporting employee, compensation of 6 months’ salary) → 5-person jury deliberation → Jury modifies to 5 months’ salary → On-chain execution. Total time: 14 business days.</w:t>
      </w:r>
    </w:p>
    <w:p>
      <w:pPr>
        <w:pStyle w:val="BodyText"/>
      </w:pPr>
      <w:r>
        <w:rPr>
          <w:rFonts w:ascii="Arial" w:hAnsi="Arial" w:cs="Arial"/>
          <w:b/>
        </w:rPr>
        <w:t xml:space="preserve">Case 3: Major Contract Dispute (Category 3 Case)</w:t>
      </w:r>
    </w:p>
    <w:p>
      <w:pPr>
        <w:pStyle w:val="BodyText"/>
      </w:pPr>
      <w:r>
        <w:rPr>
          <w:rFonts w:ascii="Arial" w:hAnsi="Arial" w:cs="Arial"/>
        </w:rPr>
        <w:t xml:space="preserve">Scenario: Enterprise E and Enterprise F dispute over the performance of a smart contract valued at 2,000,000 DAOTONG tokens. Processing flow: Enterprise E submits case filing → ID verification → Evidence collection (on-chain contract code, execution logs, communication records) → AI evidence analysis → Human judge conducts independent trial → Judge references AI analysis but makes independent judgment → Adjudication document → On-chain execution. Total time: 42 business days.</w:t>
      </w:r>
    </w:p>
    <w:p>
      <w:pPr>
        <w:pStyle w:val="Heading3"/>
      </w:pPr>
      <w:bookmarkStart w:id="29" w:name="appendix-c-version-history"/>
      <w:r>
        <w:rPr>
          <w:rFonts w:ascii="Arial" w:hAnsi="Arial" w:cs="Arial"/>
        </w:rPr>
        <w:t xml:space="preserve">Appendix C: Version History</w:t>
      </w:r>
      <w:bookmarkEnd w:id="29"/>
    </w:p>
    <w:tbl>
      <w:tblPr>
        <w:tblStyle w:val="Table"/>
        <w:tblW w:type="pct" w:w="0.0"/>
        <w:tblLook w:firstRow="0"/>
      </w:tblPr>
      <w:tblGrid/>
      <w:tr>
        <w:tc>
          <w:p>
            <w:pPr>
              <w:pStyle w:val="Compact"/>
              <w:jc w:val="left"/>
            </w:pPr>
            <w:r>
              <w:rPr>
                <w:rFonts w:ascii="Arial" w:hAnsi="Arial" w:cs="Arial"/>
                <w:b/>
              </w:rPr>
              <w:t xml:space="preserve">Version</w:t>
            </w:r>
          </w:p>
        </w:tc>
        <w:tc>
          <w:p>
            <w:pPr>
              <w:pStyle w:val="Compact"/>
              <w:jc w:val="left"/>
            </w:pPr>
            <w:r>
              <w:rPr>
                <w:rFonts w:ascii="Arial" w:hAnsi="Arial" w:cs="Arial"/>
                <w:b/>
              </w:rPr>
              <w:t xml:space="preserve">Date</w:t>
            </w:r>
          </w:p>
        </w:tc>
        <w:tc>
          <w:p>
            <w:pPr>
              <w:pStyle w:val="Compact"/>
              <w:jc w:val="left"/>
            </w:pPr>
            <w:r>
              <w:rPr>
                <w:rFonts w:ascii="Arial" w:hAnsi="Arial" w:cs="Arial"/>
                <w:b/>
              </w:rPr>
              <w:t xml:space="preserve">Change Description</w:t>
            </w:r>
          </w:p>
        </w:tc>
      </w:tr>
      <w:tr>
        <w:tc>
          <w:p>
            <w:pPr>
              <w:pStyle w:val="Compact"/>
              <w:jc w:val="left"/>
            </w:pPr>
            <w:r>
              <w:rPr>
                <w:rFonts w:ascii="Arial" w:hAnsi="Arial" w:cs="Arial"/>
              </w:rPr>
              <w:t xml:space="preserve">v1.0</w:t>
            </w:r>
          </w:p>
        </w:tc>
        <w:tc>
          <w:p>
            <w:pPr>
              <w:pStyle w:val="Compact"/>
              <w:jc w:val="left"/>
            </w:pPr>
            <w:r>
              <w:rPr>
                <w:rFonts w:ascii="Arial" w:hAnsi="Arial" w:cs="Arial"/>
              </w:rPr>
              <w:t xml:space="preserve">June 2026</w:t>
            </w:r>
          </w:p>
        </w:tc>
        <w:tc>
          <w:p>
            <w:pPr>
              <w:pStyle w:val="Compact"/>
              <w:jc w:val="left"/>
            </w:pPr>
            <w:r>
              <w:rPr>
                <w:rFonts w:ascii="Arial" w:hAnsi="Arial" w:cs="Arial"/>
              </w:rPr>
              <w:t xml:space="preserve">Initial version, public consultation draft</w:t>
            </w:r>
          </w:p>
        </w:tc>
      </w:tr>
    </w:tbl>
    <w:p>
      <w:pPr>
        <w:pStyle w:val="Heading3"/>
      </w:pPr>
      <w:bookmarkStart w:id="30" w:name="appendix-d-references"/>
      <w:r>
        <w:rPr>
          <w:rFonts w:ascii="Arial" w:hAnsi="Arial" w:cs="Arial"/>
        </w:rPr>
        <w:t xml:space="preserve">Appendix D: References</w:t>
      </w:r>
      <w:bookmarkEnd w:id="30"/>
    </w:p>
    <w:p>
      <w:pPr>
        <w:numPr>
          <w:ilvl w:val="0"/>
          <w:numId w:val="1018"/>
        </w:numPr>
      </w:pPr>
      <w:r>
        <w:rPr>
          <w:rFonts w:ascii="Arial" w:hAnsi="Arial" w:cs="Arial"/>
        </w:rPr>
        <w:t xml:space="preserve">Susskind, R. (2019). Online Courts and the Future of Justice. Oxford University Press.</w:t>
      </w:r>
    </w:p>
    <w:p>
      <w:pPr>
        <w:numPr>
          <w:ilvl w:val="0"/>
          <w:numId w:val="1018"/>
        </w:numPr>
      </w:pPr>
      <w:r>
        <w:rPr>
          <w:rFonts w:ascii="Arial" w:hAnsi="Arial" w:cs="Arial"/>
        </w:rPr>
        <w:t xml:space="preserve">Coglianese, C. &amp; Lehr, D. (2019). Regulating by Robot: Administrative Decision Making in the Machine-Learning Era. Georgetown Law Journal, 105(5), 1147-1221.</w:t>
      </w:r>
    </w:p>
    <w:p>
      <w:pPr>
        <w:numPr>
          <w:ilvl w:val="0"/>
          <w:numId w:val="1018"/>
        </w:numPr>
      </w:pPr>
      <w:r>
        <w:rPr>
          <w:rFonts w:ascii="Arial" w:hAnsi="Arial" w:cs="Arial"/>
        </w:rPr>
        <w:t xml:space="preserve">Kleinberg, J. et al. (2018). Human Decisions and Machine Predictions. Quarterly Journal of Economics, 133(1), 237-293.</w:t>
      </w:r>
    </w:p>
    <w:p>
      <w:pPr>
        <w:numPr>
          <w:ilvl w:val="0"/>
          <w:numId w:val="1018"/>
        </w:numPr>
      </w:pPr>
      <w:r>
        <w:rPr>
          <w:rFonts w:ascii="Arial" w:hAnsi="Arial" w:cs="Arial"/>
        </w:rPr>
        <w:t xml:space="preserve">Freeman, J. &amp; Engstrom, D. (2019). The Council of AI Counselors. Administrative Law Review, 72(2), 307-364.</w:t>
      </w:r>
    </w:p>
    <w:p>
      <w:pPr>
        <w:numPr>
          <w:ilvl w:val="0"/>
          <w:numId w:val="1018"/>
        </w:numPr>
      </w:pPr>
      <w:r>
        <w:rPr>
          <w:rFonts w:ascii="Arial" w:hAnsi="Arial" w:cs="Arial"/>
        </w:rPr>
        <w:t xml:space="preserve">Rawls, J. (1971). A Theory of Justice. Harvard University Press.</w:t>
      </w:r>
    </w:p>
    <w:p>
      <w:pPr>
        <w:numPr>
          <w:ilvl w:val="0"/>
          <w:numId w:val="1018"/>
        </w:numPr>
      </w:pPr>
      <w:r>
        <w:rPr>
          <w:rFonts w:ascii="Arial" w:hAnsi="Arial" w:cs="Arial"/>
        </w:rPr>
        <w:t xml:space="preserve">Dworkin, R. (1986). Law’s Empire. Harvard University Press.</w:t>
      </w:r>
    </w:p>
    <w:p>
      <w:pPr>
        <w:numPr>
          <w:ilvl w:val="0"/>
          <w:numId w:val="1018"/>
        </w:numPr>
      </w:pPr>
      <w:r>
        <w:rPr>
          <w:rFonts w:ascii="Arial" w:hAnsi="Arial" w:cs="Arial"/>
        </w:rPr>
        <w:t xml:space="preserve">European Commission (2021). Proposal for a Regulation on Artificial Intelligence (AI Act).</w:t>
      </w:r>
    </w:p>
    <w:p>
      <w:pPr>
        <w:numPr>
          <w:ilvl w:val="0"/>
          <w:numId w:val="1018"/>
        </w:numPr>
      </w:pPr>
      <w:r>
        <w:rPr>
          <w:rFonts w:ascii="Arial" w:hAnsi="Arial" w:cs="Arial"/>
        </w:rPr>
        <w:t xml:space="preserve">NIST (2023). AI Risk Management Framework (AI RMF 1.0). National Institute of Standards and Technology.</w:t>
      </w:r>
    </w:p>
    <w:p>
      <w:pPr>
        <w:pStyle w:val="FirstParagraph"/>
      </w:pPr>
      <w:r>
        <w:rPr>
          <w:rFonts w:ascii="Arial" w:hAnsi="Arial" w:cs="Arial"/>
          <w:i/>
        </w:rPr>
        <w:t xml:space="preserve">— End of Document —</w:t>
      </w:r>
    </w:p>
    <w:sectPr w:rsidR="00FC693F" w:rsidRPr="0006063C" w:rsidSect="00034616">
      <w:headerReference w:type="default" r:id="rId9"/>
      <w:footerReference w:type="default" r:id="rId10"/>
      <w:pgSz w:w="12240" w:h="15840"/>
      <w:pgMar w:top="1440" w:right="1728" w:bottom="1440" w:left="172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 xml:space="preserve">Page </w:t>
    </w:r>
    <w:r>
      <w:fldChar w:fldCharType="begin"/>
    </w:r>
    <w:r>
      <w:instrText xml:space="preserve"> PAGE </w:instrText>
    </w:r>
    <w:r>
      <w:fldChar w:fldCharType="end"/>
    </w:r>
    <w:r>
      <w:rPr>
        <w:rFonts w:ascii="Arial" w:hAnsi="Arial"/>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808080"/>
        <w:sz w:val="16"/>
      </w:rPr>
      <w:t>DAOTONG · AI Justice System Specification · Confidentiality: Public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0" Type="http://schemas.openxmlformats.org/officeDocument/2006/relationships/image" Target="media/rId20.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2026-06-28T11:35:20Z</dcterms:created>
  <dcterms:modified xsi:type="dcterms:W3CDTF">2026-06-28T11:35:20Z</dcterms:modified>
</cp:coreProperties>
</file>

<file path=docProps/custom.xml><?xml version="1.0" encoding="utf-8"?>
<Properties xmlns="http://schemas.openxmlformats.org/officeDocument/2006/custom-properties" xmlns:vt="http://schemas.openxmlformats.org/officeDocument/2006/docPropsVTypes"/>
</file>