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ascii="Arial" w:hAnsi="Arial" w:cs="Arial"/>
          <w:b/>
        </w:rPr>
        <w:t xml:space="preserve">DAOTONG</w:t>
      </w:r>
    </w:p>
    <w:p>
      <w:pPr>
        <w:pStyle w:val="BodyText"/>
      </w:pPr>
      <w:r>
        <w:rPr>
          <w:rFonts w:ascii="Arial" w:hAnsi="Arial" w:cs="Arial"/>
          <w:b/>
        </w:rPr>
        <w:t xml:space="preserve">Daotong · AI Civilization Governance System</w:t>
      </w:r>
    </w:p>
    <w:p>
      <w:pPr>
        <w:pStyle w:val="BodyText"/>
      </w:pPr>
      <w:r>
        <w:rPr>
          <w:rFonts w:ascii="Arial" w:hAnsi="Arial" w:cs="Arial"/>
        </w:rPr>
        <w:t xml:space="preserve">Execution Roadmap</w:t>
      </w:r>
    </w:p>
    <w:p>
      <w:pPr>
        <w:pStyle w:val="BodyText"/>
      </w:pPr>
      <w:r>
        <w:rPr>
          <w:rFonts w:ascii="Arial" w:hAnsi="Arial" w:cs="Arial"/>
          <w:i/>
        </w:rPr>
        <w:t xml:space="preserve">Execution Roadmap for AI Civilization Governance</w:t>
      </w:r>
    </w:p>
    <w:p>
      <w:pPr>
        <w:pStyle w:val="BodyText"/>
      </w:pPr>
      <w:r>
        <w:rPr>
          <w:rFonts w:ascii="Arial" w:hAnsi="Arial" w:cs="Arial"/>
        </w:rPr>
        <w:t xml:space="preserve">Version: 1.0</w:t>
      </w:r>
    </w:p>
    <w:p>
      <w:pPr>
        <w:pStyle w:val="BodyText"/>
      </w:pPr>
      <w:r>
        <w:rPr>
          <w:rFonts w:ascii="Arial" w:hAnsi="Arial" w:cs="Arial"/>
        </w:rPr>
        <w:t xml:space="preserve">Date: June 28, 2026</w:t>
      </w:r>
    </w:p>
    <w:p>
      <w:pPr>
        <w:pStyle w:val="BodyText"/>
      </w:pPr>
      <w:r>
        <w:rPr>
          <w:rFonts w:ascii="Arial" w:hAnsi="Arial" w:cs="Arial"/>
        </w:rPr>
        <w:t xml:space="preserve">Classification: Public</w:t>
      </w:r>
    </w:p>
    <w:p>
      <w:pPr>
        <w:pStyle w:val="BodyText"/>
      </w:pPr>
      <w:r>
        <w:rPr>
          <w:rFonts w:ascii="Arial" w:hAnsi="Arial" w:cs="Arial"/>
          <w:b/>
        </w:rPr>
        <w:t xml:space="preserve">Architecture Overview</w:t>
      </w:r>
    </w:p>
    <w:p>
      <w:pPr>
        <w:pStyle w:val="BodyText"/>
      </w:pPr>
      <w:r>
        <w:rPr>
          <w:rFonts w:ascii="Arial" w:hAnsi="Arial" w:cs="Arial"/>
        </w:rPr>
        <w:t xml:space="preserve">The complete architecture diagram of the DAOTONG AI Civilization Governance System presents a comprehensive governance framework spanning from the AI Governance Core to the Global Alliance. This architecture comprises three governance layers, a four-phase implementation pathway, six core modules, core risks and countermeasures, and a final vision, constituting a verifiable, auditable, and scalable depoliticized AI civilization governance solution.</w:t>
      </w:r>
    </w:p>
    <w:p>
      <w:pPr>
        <w:pStyle w:val="BodyText"/>
        <w:jc w:val="center"/>
      </w:pPr>
      <w:r>
        <w:rPr>
          <w:rFonts w:ascii="Arial" w:hAnsi="Arial" w:cs="Arial"/>
        </w:rPr>
        <w:drawing>
          <wp:inline>
            <wp:extent cx="5715000" cy="6723155"/>
            <wp:effectExtent b="0" l="0" r="0" t="0"/>
            <wp:docPr descr="" title="" id="1" name="Picture"/>
            <a:graphic>
              <a:graphicData uri="http://schemas.openxmlformats.org/drawingml/2006/picture">
                <pic:pic>
                  <pic:nvPicPr>
                    <pic:cNvPr descr="media/arch_diagram.png" id="0" name="Picture"/>
                    <pic:cNvPicPr>
                      <a:picLocks noChangeArrowheads="1" noChangeAspect="1"/>
                    </pic:cNvPicPr>
                  </pic:nvPicPr>
                  <pic:blipFill>
                    <a:blip r:embed="rId20"/>
                    <a:stretch>
                      <a:fillRect/>
                    </a:stretch>
                  </pic:blipFill>
                  <pic:spPr bwMode="auto">
                    <a:xfrm>
                      <a:off x="0" y="0"/>
                      <a:ext cx="5575300" cy="6723155"/>
                    </a:xfrm>
                    <a:prstGeom prst="rect">
                      <a:avLst/>
                    </a:prstGeom>
                    <a:noFill/>
                    <a:ln w="9525">
                      <a:noFill/>
                      <a:headEnd/>
                      <a:tailEnd/>
                    </a:ln>
                  </pic:spPr>
                </pic:pic>
              </a:graphicData>
            </a:graphic>
          </wp:inline>
        </w:drawing>
      </w:r>
    </w:p>
    <w:p>
      <w:pPr>
        <w:pStyle w:val="BodyText"/>
      </w:pPr>
      <w:r>
        <w:rPr>
          <w:rFonts w:ascii="Arial" w:hAnsi="Arial" w:cs="Arial"/>
          <w:i/>
        </w:rPr>
        <w:t xml:space="preserve">Figure 1: Complete Architecture Diagram of the DAOTONG AI Civilization Governance System</w:t>
      </w:r>
    </w:p>
    <w:p>
      <w:pPr>
        <w:pStyle w:val="BodyText"/>
      </w:pPr>
      <w:r>
        <w:rPr>
          <w:rFonts w:ascii="Arial" w:hAnsi="Arial" w:cs="Arial"/>
          <w:b/>
        </w:rPr>
        <w:t xml:space="preserve">Part 1: Governance Layer Architecture</w:t>
      </w:r>
    </w:p>
    <w:p>
      <w:pPr>
        <w:pStyle w:val="BodyText"/>
      </w:pPr>
      <w:r>
        <w:rPr>
          <w:rFonts w:ascii="Arial" w:hAnsi="Arial" w:cs="Arial"/>
        </w:rPr>
        <w:t xml:space="preserve">The DAOTONG governance system employs a strict three-layer separation architecture, ensuring checks and balances among AI governance capabilities, human veto authority, and universal consensus. Each layer possesses clearly defined power boundaries, independent decision-making scope, comprehensive oversight mechanisms, and standardized interface protocols for interaction with other layers. The following details each layer’s architecture.</w:t>
      </w:r>
    </w:p>
    <w:p>
      <w:pPr>
        <w:pStyle w:val="BodyText"/>
      </w:pPr>
      <w:r>
        <w:rPr>
          <w:rFonts w:ascii="Arial" w:hAnsi="Arial" w:cs="Arial"/>
          <w:b/>
        </w:rPr>
        <w:t xml:space="preserve">Layer 1: AI Governance Core (AIGC)</w:t>
      </w:r>
    </w:p>
    <w:p>
      <w:pPr>
        <w:pStyle w:val="BodyText"/>
      </w:pPr>
      <w:r>
        <w:rPr>
          <w:rFonts w:ascii="Arial" w:hAnsi="Arial" w:cs="Arial"/>
        </w:rPr>
        <w:t xml:space="preserve">The AI Governance Core (AIGC) serves as the computational hub and decision engine of the DAOTONG governance system. This layer consists of large-scale AI model clusters constrained by constitutional Hard Limits, responsible for computation, reasoning, and solution generation in daily governance decisions. AIGC does not possess autonomous execution authority; all its outputs must undergo Elder Council review and Consensus Layer confirmation before taking effect.</w:t>
      </w:r>
    </w:p>
    <w:p>
      <w:pPr>
        <w:pStyle w:val="BodyText"/>
      </w:pPr>
      <w:r>
        <w:rPr>
          <w:rFonts w:ascii="Arial" w:hAnsi="Arial" w:cs="Arial"/>
          <w:b/>
        </w:rPr>
        <w:t xml:space="preserve">Power Boundaries</w:t>
      </w:r>
    </w:p>
    <w:p>
      <w:pPr>
        <w:pStyle w:val="BodyText"/>
      </w:pPr>
      <w:r>
        <w:rPr>
          <w:rFonts w:ascii="Arial" w:hAnsi="Arial" w:cs="Arial"/>
        </w:rPr>
        <w:t xml:space="preserve">AIGC’s power boundaries are strictly defined by Constitutional Hard Limits embedded in the system kernel as unmodifiable code, including but not limited to: prohibiting initiation of military operations (may only respond to military advisory requests), prohibiting modification of constitutional provisions (may only propose amendments), prohibiting direct control of fiscal funds (may only prepare budget proposals), prohibiting deprivation of citizens’ fundamental rights (may only propose rulings based on judicial procedures). Any computational attempts exceeding power boundaries will trigger system-level blocking, with automatic logging of violations submitted for Elder Council review.</w:t>
      </w:r>
    </w:p>
    <w:p>
      <w:pPr>
        <w:pStyle w:val="BodyText"/>
      </w:pPr>
      <w:r>
        <w:rPr>
          <w:rFonts w:ascii="Arial" w:hAnsi="Arial" w:cs="Arial"/>
          <w:b/>
        </w:rPr>
        <w:t xml:space="preserve">Decision Scope</w:t>
      </w:r>
    </w:p>
    <w:p>
      <w:pPr>
        <w:pStyle w:val="BodyText"/>
      </w:pPr>
      <w:r>
        <w:rPr>
          <w:rFonts w:ascii="Arial" w:hAnsi="Arial" w:cs="Arial"/>
        </w:rPr>
        <w:t xml:space="preserve">AIGC’s decision scope covers five core domains: legal generation, fiscal budgeting, judicial rulings, risk prediction, and diplomatic advisory. In legal generation, AIGC automatically generates legal draft texts based on social data analysis and historical case repositories, annotating clause bases and impact assessment reports. In fiscal budgeting, AIGC integrates tax data, livelihood indicators, and development plans to generate multi-scheme budget comparison reports. In judicial rulings, AIGC processes evidence chain analysis to generate ruling recommendations for jury confirmation. In risk prediction, AIGC monitors multi-dimensional indicators in real-time including social, economic, and security metrics, outputting risk early-warning reports. In diplomatic advisory, AIGC generates diplomatic strategy recommendations based on international relations models and treaty databases.</w:t>
      </w:r>
    </w:p>
    <w:p>
      <w:pPr>
        <w:pStyle w:val="BodyText"/>
      </w:pPr>
      <w:r>
        <w:rPr>
          <w:rFonts w:ascii="Arial" w:hAnsi="Arial" w:cs="Arial"/>
          <w:b/>
        </w:rPr>
        <w:t xml:space="preserve">Oversight Mechanisms</w:t>
      </w:r>
    </w:p>
    <w:p>
      <w:pPr>
        <w:pStyle w:val="BodyText"/>
      </w:pPr>
      <w:r>
        <w:rPr>
          <w:rFonts w:ascii="Arial" w:hAnsi="Arial" w:cs="Arial"/>
        </w:rPr>
        <w:t xml:space="preserve">AIGC is subject to triple-tier oversight: the first tier consists of Constitutional Hard Limits, with all decision outputs requiring automated compliance verification; the second tier is the Elder Council veto power, allowing the Elder Council to exercise a single-veto override on any AIGC decision; the third tier is the Referendum recall, whereby when cumulative citizen co-signatures exceed 10%, a Referendum on a specific AIGC decision may be initiated. Furthermore, all AIGC decision processes are continuously recorded in on-chain audit logs, ensuring traceability, verifiability, and accountability.</w:t>
      </w:r>
    </w:p>
    <w:p>
      <w:pPr>
        <w:pStyle w:val="BodyText"/>
      </w:pPr>
      <w:r>
        <w:rPr>
          <w:rFonts w:ascii="Arial" w:hAnsi="Arial" w:cs="Arial"/>
          <w:b/>
        </w:rPr>
        <w:t xml:space="preserve">Interface Protocols with Other Layers</w:t>
      </w:r>
    </w:p>
    <w:p>
      <w:pPr>
        <w:pStyle w:val="BodyText"/>
      </w:pPr>
      <w:r>
        <w:rPr>
          <w:rFonts w:ascii="Arial" w:hAnsi="Arial" w:cs="Arial"/>
        </w:rPr>
        <w:t xml:space="preserve">AIGC interacts with the Elder Council through the Decision Transmission Protocol (DTP). AIGC pushes decision proposals to the Elder Council review queue as structured data packets containing: decision ID, decision type, impact assessment, compliance verification results, and recommended execution time window. The Elder Council must complete the review and return review comments within 72 hours. AIGC interacts with the Consensus Layer through the Referendum Trigger Protocol (RTP); when decisions involve war, constitutional amendments, large-scale fiscal expenditures, or international treaty signing, the Referendum process is automatically triggered.</w:t>
      </w:r>
    </w:p>
    <w:p>
      <w:pPr>
        <w:pStyle w:val="BodyText"/>
      </w:pPr>
      <w:r>
        <w:rPr>
          <w:rFonts w:ascii="Arial" w:hAnsi="Arial" w:cs="Arial"/>
          <w:b/>
        </w:rPr>
        <w:t xml:space="preserve">Layer 2: Elder Council (Veto Layer)</w:t>
      </w:r>
    </w:p>
    <w:p>
      <w:pPr>
        <w:pStyle w:val="BodyText"/>
      </w:pPr>
      <w:r>
        <w:rPr>
          <w:rFonts w:ascii="Arial" w:hAnsi="Arial" w:cs="Arial"/>
        </w:rPr>
        <w:t>The Elder Council serves as the human safety valve of the DAOTONG governance system, possessing veto authority over AIGC decisions but not active proposal rights. The Elder Council’s design philosophy is “brakes only, no steering wheel”—its function is limited to preventing harmful decisions from the AI governance system, rather than replacing AI in governance decisions. This design ensures effective human oversight while avoiding erosion of governance efficiency from political maneuvering.</w:t>
      </w:r>
    </w:p>
    <w:p>
      <w:pPr>
        <w:pStyle w:val="BodyText"/>
      </w:pPr>
      <w:r>
        <w:rPr>
          <w:rFonts w:ascii="Arial" w:hAnsi="Arial" w:cs="Arial"/>
          <w:b/>
        </w:rPr>
        <w:t xml:space="preserve">Power Boundaries</w:t>
      </w:r>
    </w:p>
    <w:p>
      <w:pPr>
        <w:pStyle w:val="BodyText"/>
      </w:pPr>
      <w:r>
        <w:rPr>
          <w:rFonts w:ascii="Arial" w:hAnsi="Arial" w:cs="Arial"/>
        </w:rPr>
        <w:t xml:space="preserve">The Elder Council’s power is strictly limited to Veto Power, specifically including: single-veto override of any AIGC decision output, requiring AIGC to reconsider specific topics, and initiating Emergency Shutdown procedures. The Elder Council shall not exercise the following powers: actively proposing governance solutions, modifying legal draft content generated by AIGC, directly commanding administrative systems to execute specific operations, or interfering with specific conclusions of judicial rulings. The Elder Council’s veto exercise must be completed within the 72-hour review window; failure to veto within this period constitutes automatic passage.</w:t>
      </w:r>
    </w:p>
    <w:p>
      <w:pPr>
        <w:pStyle w:val="BodyText"/>
      </w:pPr>
      <w:r>
        <w:rPr>
          <w:rFonts w:ascii="Arial" w:hAnsi="Arial" w:cs="Arial"/>
          <w:b/>
        </w:rPr>
        <w:t xml:space="preserve">Decision Scope</w:t>
      </w:r>
    </w:p>
    <w:p>
      <w:pPr>
        <w:pStyle w:val="BodyText"/>
      </w:pPr>
      <w:r>
        <w:rPr>
          <w:rFonts w:ascii="Arial" w:hAnsi="Arial" w:cs="Arial"/>
        </w:rPr>
        <w:t xml:space="preserve">The Elder Council’s decision scope covers: constitutional compliance review of AIGC legal generation outputs, reasonableness review of fiscal budget proposals, human rights compliance review of judicial ruling recommendations, prudence review of risk prediction reports, and national interest review of diplomatic advisory. Elder Council members operate through independent review, without convening debate sessions, avoiding group polarization effects. Each Elder reviews and votes independently; more than 60% of Elders must vote against for a veto to take effect.</w:t>
      </w:r>
    </w:p>
    <w:p>
      <w:pPr>
        <w:pStyle w:val="BodyText"/>
      </w:pPr>
      <w:r>
        <w:rPr>
          <w:rFonts w:ascii="Arial" w:hAnsi="Arial" w:cs="Arial"/>
          <w:b/>
        </w:rPr>
        <w:t xml:space="preserve">Oversight Mechanisms</w:t>
      </w:r>
    </w:p>
    <w:p>
      <w:pPr>
        <w:pStyle w:val="BodyText"/>
      </w:pPr>
      <w:r>
        <w:rPr>
          <w:rFonts w:ascii="Arial" w:hAnsi="Arial" w:cs="Arial"/>
        </w:rPr>
        <w:t xml:space="preserve">The Elder Council itself is subject to multiple oversight mechanisms: membership qualification review—must satisfy three hard conditions: aged 65 or above, non-partisan affiliation, and no commercial interest associations; term limits—each Elder serves a 6-year term without reappointment; conduct audit—all Elder Council voting records are publicly posted on-chain, subject to universal oversight; recall mechanism—when cumulative citizen co-signatures exceed 15% questioning an Elder’s impartiality, an independent investigation procedure is initiated. Additionally, the Elder Council collective veto is subject to threshold constraints: a single Elder may not independently veto any decision; the 60% collective veto threshold must be reached.</w:t>
      </w:r>
    </w:p>
    <w:p>
      <w:pPr>
        <w:pStyle w:val="BodyText"/>
      </w:pPr>
      <w:r>
        <w:rPr>
          <w:rFonts w:ascii="Arial" w:hAnsi="Arial" w:cs="Arial"/>
          <w:b/>
        </w:rPr>
        <w:t xml:space="preserve">Interface Protocols with Other Layers</w:t>
      </w:r>
    </w:p>
    <w:p>
      <w:pPr>
        <w:pStyle w:val="BodyText"/>
      </w:pPr>
      <w:r>
        <w:rPr>
          <w:rFonts w:ascii="Arial" w:hAnsi="Arial" w:cs="Arial"/>
        </w:rPr>
        <w:t xml:space="preserve">The Elder Council interacts with AIGC through the Veto Feedback Protocol (VFP). When the Elder Council exercises veto power, it must simultaneously submit written veto reasons; AIGC must generate alternative proposals or supplementary argumentation materials within 48 hours based on the veto reasons. The Elder Council interacts with the Consensus Layer through the Consensus Conduction Protocol (CCP): when the Elder Council determines that a decision should be submitted to a Referendum, it may send a Referendum recommendation to the Consensus Layer, but this recommendation is non-binding; the Consensus Layer independently decides whether to initiate a Referendum.</w:t>
      </w:r>
    </w:p>
    <w:p>
      <w:pPr>
        <w:pStyle w:val="BodyText"/>
      </w:pPr>
      <w:r>
        <w:rPr>
          <w:rFonts w:ascii="Arial" w:hAnsi="Arial" w:cs="Arial"/>
          <w:b/>
        </w:rPr>
        <w:t xml:space="preserve">Layer 3: Consensus Layer (On-chain Voting)</w:t>
      </w:r>
    </w:p>
    <w:p>
      <w:pPr>
        <w:pStyle w:val="BodyText"/>
      </w:pPr>
      <w:r>
        <w:rPr>
          <w:rFonts w:ascii="Arial" w:hAnsi="Arial" w:cs="Arial"/>
        </w:rPr>
        <w:t>The Consensus Layer is the highest authority attribution layer of the DAOTONG governance system, representing the collective will of all Digital Citizens. This layer achieves direct democracy through on-chain voting mechanisms, exercising final decision-making authority on civilization-level significant matters. The Consensus Layer embodies the fundamental principle of “power belongs to the people,” ensuring AI governance does not evolve into technocratic rule.</w:t>
      </w:r>
    </w:p>
    <w:p>
      <w:pPr>
        <w:pStyle w:val="BodyText"/>
      </w:pPr>
      <w:r>
        <w:rPr>
          <w:rFonts w:ascii="Arial" w:hAnsi="Arial" w:cs="Arial"/>
          <w:b/>
        </w:rPr>
        <w:t xml:space="preserve">Power Boundaries</w:t>
      </w:r>
    </w:p>
    <w:p>
      <w:pPr>
        <w:pStyle w:val="BodyText"/>
      </w:pPr>
      <w:r>
        <w:rPr>
          <w:rFonts w:ascii="Arial" w:hAnsi="Arial" w:cs="Arial"/>
        </w:rPr>
        <w:t xml:space="preserve">The Consensus Layer’s power boundaries are explicitly limited to four categories of civilization-level significant matters: war and peace decisions—whether to enter military state, whether to sign armistice agreements; constitutional amendments—any addition, deletion, or modification of constitutional provisions requires passage through a Referendum; large-scale fiscal expenditures—additional expenditure items exceeding 5% of annual budget; international treaty signing—international treaties involving sovereignty transfers or long-term commitments. The Consensus Layer shall not interfere with AIGC’s daily computation and decision generation processes, nor overturn Elder Council veto decisions (though it may adjust Elder Council veto rules through constitutional amendment procedures).</w:t>
      </w:r>
    </w:p>
    <w:p>
      <w:pPr>
        <w:pStyle w:val="BodyText"/>
      </w:pPr>
      <w:r>
        <w:rPr>
          <w:rFonts w:ascii="Arial" w:hAnsi="Arial" w:cs="Arial"/>
          <w:b/>
        </w:rPr>
        <w:t xml:space="preserve">Decision Scope</w:t>
      </w:r>
    </w:p>
    <w:p>
      <w:pPr>
        <w:pStyle w:val="BodyText"/>
      </w:pPr>
      <w:r>
        <w:rPr>
          <w:rFonts w:ascii="Arial" w:hAnsi="Arial" w:cs="Arial"/>
        </w:rPr>
        <w:t xml:space="preserve">The Consensus Layer’s decisions are achieved through on-chain voting; each AI-Citizen ID holds one voting right, which is non-transferable, non-purchasable, and non-delegable. Voting is divided into three categories: affirmative voting—final approval of AIGC-Elder Council passed proposals; negative voting—retroactive veto of enacted decisions (must be initiated within 30 days after decision takes effect); initiative voting—new topic voting initiated by citizen co-signature (requires 5% citizen co-signature support to enter voting procedure). All voting results adopt simple majority as the principle, but constitutional amendments require a two-thirds supermajority.</w:t>
      </w:r>
    </w:p>
    <w:p>
      <w:pPr>
        <w:pStyle w:val="BodyText"/>
      </w:pPr>
      <w:r>
        <w:rPr>
          <w:rFonts w:ascii="Arial" w:hAnsi="Arial" w:cs="Arial"/>
          <w:b/>
        </w:rPr>
        <w:t xml:space="preserve">Oversight Mechanisms</w:t>
      </w:r>
    </w:p>
    <w:p>
      <w:pPr>
        <w:pStyle w:val="BodyText"/>
      </w:pPr>
      <w:r>
        <w:rPr>
          <w:rFonts w:ascii="Arial" w:hAnsi="Arial" w:cs="Arial"/>
        </w:rPr>
        <w:t xml:space="preserve">The Consensus Layer’s oversight mechanisms include: voting cooling period—same topic may not be resubmitted within 90 days after voting rejection; information symmetry guarantee—before voting, AIGC must push topic impact assessment reports to all citizens, ensuring informed voting; anti-manipulation mechanism—using Zero-Knowledge Proof to verify voting eligibility, ensuring one-person-one-vote while making others’ voting content unverifiable; emergency halt—when the Elder Council determines systematic anomalies exist in the voting process, voting may be urgently suspended and an investigation initiated.</w:t>
      </w:r>
    </w:p>
    <w:p>
      <w:pPr>
        <w:pStyle w:val="BodyText"/>
      </w:pPr>
      <w:r>
        <w:rPr>
          <w:rFonts w:ascii="Arial" w:hAnsi="Arial" w:cs="Arial"/>
          <w:b/>
        </w:rPr>
        <w:t xml:space="preserve">Interface Protocols with Other Layers</w:t>
      </w:r>
    </w:p>
    <w:p>
      <w:pPr>
        <w:pStyle w:val="BodyText"/>
      </w:pPr>
      <w:r>
        <w:rPr>
          <w:rFonts w:ascii="Arial" w:hAnsi="Arial" w:cs="Arial"/>
        </w:rPr>
        <w:t xml:space="preserve">The Consensus Layer receives AIGC’s Referendum trigger requests and Elder Council’s Referendum recommendations through the Referendum Execution Protocol (REP). Voting results are transmitted back to AIGC and the Elder Council through the Consensus Confirmation Protocol (CCP-2): if the Referendum passes, AIGC generates an implementation plan within 48 hours; if the Referendum fails, AIGC must reassess and generate alternative proposals within 72 hours. The entire interaction process is continuously recorded on-chain, ensuring transparent traceability.</w:t>
      </w:r>
    </w:p>
    <w:p>
      <w:pPr>
        <w:pStyle w:val="BodyText"/>
      </w:pPr>
      <w:r>
        <w:rPr>
          <w:rFonts w:ascii="Arial" w:hAnsi="Arial" w:cs="Arial"/>
          <w:b/>
        </w:rPr>
        <w:t xml:space="preserve">Four-Phase Gantt Chart Timeline</w:t>
      </w:r>
    </w:p>
    <w:p>
      <w:pPr>
        <w:pStyle w:val="BodyText"/>
      </w:pPr>
      <w:r>
        <w:rPr>
          <w:rFonts w:ascii="Arial" w:hAnsi="Arial" w:cs="Arial"/>
        </w:rPr>
        <w:t xml:space="preserve">The following table presents the timeline arrangements and overlap intervals of the DAOTONG four-phase implementation pathway in Gantt chart format:</w:t>
      </w:r>
    </w:p>
    <w:tbl>
      <w:tblPr>
        <w:tblStyle w:val="Table"/>
        <w:tblW w:type="pct" w:w="0.0"/>
        <w:tblLook w:firstRow="0"/>
      </w:tblPr>
      <w:tblGrid/>
      <w:tr>
        <w:tc>
          <w:p>
            <w:pPr>
              <w:pStyle w:val="Compact"/>
              <w:jc w:val="left"/>
            </w:pPr>
            <w:r>
              <w:rPr>
                <w:rFonts w:ascii="Arial" w:hAnsi="Arial" w:cs="Arial"/>
                <w:b/>
              </w:rPr>
              <w:t xml:space="preserve">Phase</w:t>
            </w:r>
          </w:p>
        </w:tc>
        <w:tc>
          <w:p>
            <w:pPr>
              <w:pStyle w:val="Compact"/>
              <w:jc w:val="left"/>
            </w:pPr>
            <w:r>
              <w:rPr>
                <w:rFonts w:ascii="Arial" w:hAnsi="Arial" w:cs="Arial"/>
                <w:b/>
              </w:rPr>
              <w:t xml:space="preserve">Year 1</w:t>
            </w:r>
          </w:p>
        </w:tc>
        <w:tc>
          <w:p>
            <w:pPr>
              <w:pStyle w:val="Compact"/>
              <w:jc w:val="left"/>
            </w:pPr>
            <w:r>
              <w:rPr>
                <w:rFonts w:ascii="Arial" w:hAnsi="Arial" w:cs="Arial"/>
                <w:b/>
              </w:rPr>
              <w:t xml:space="preserve">2</w:t>
            </w:r>
          </w:p>
        </w:tc>
        <w:tc>
          <w:p>
            <w:pPr>
              <w:pStyle w:val="Compact"/>
              <w:jc w:val="left"/>
            </w:pPr>
            <w:r>
              <w:rPr>
                <w:rFonts w:ascii="Arial" w:hAnsi="Arial" w:cs="Arial"/>
                <w:b/>
              </w:rPr>
              <w:t xml:space="preserve">3</w:t>
            </w:r>
          </w:p>
        </w:tc>
        <w:tc>
          <w:p>
            <w:pPr>
              <w:pStyle w:val="Compact"/>
              <w:jc w:val="left"/>
            </w:pPr>
            <w:r>
              <w:rPr>
                <w:rFonts w:ascii="Arial" w:hAnsi="Arial" w:cs="Arial"/>
                <w:b/>
              </w:rPr>
              <w:t xml:space="preserve">4-5</w:t>
            </w:r>
          </w:p>
        </w:tc>
        <w:tc>
          <w:p>
            <w:pPr>
              <w:pStyle w:val="Compact"/>
              <w:jc w:val="left"/>
            </w:pPr>
            <w:r>
              <w:rPr>
                <w:rFonts w:ascii="Arial" w:hAnsi="Arial" w:cs="Arial"/>
                <w:b/>
              </w:rPr>
              <w:t xml:space="preserve">6-8</w:t>
            </w:r>
          </w:p>
        </w:tc>
        <w:tc>
          <w:p>
            <w:pPr>
              <w:pStyle w:val="Compact"/>
              <w:jc w:val="left"/>
            </w:pPr>
            <w:r>
              <w:rPr>
                <w:rFonts w:ascii="Arial" w:hAnsi="Arial" w:cs="Arial"/>
                <w:b/>
              </w:rPr>
              <w:t xml:space="preserve">9-12</w:t>
            </w:r>
          </w:p>
        </w:tc>
        <w:tc>
          <w:p>
            <w:pPr>
              <w:pStyle w:val="Compact"/>
              <w:jc w:val="left"/>
            </w:pPr>
            <w:r>
              <w:rPr>
                <w:rFonts w:ascii="Arial" w:hAnsi="Arial" w:cs="Arial"/>
                <w:b/>
              </w:rPr>
              <w:t xml:space="preserve">13-20</w:t>
            </w:r>
          </w:p>
        </w:tc>
      </w:tr>
      <w:tr>
        <w:tc>
          <w:p>
            <w:pPr>
              <w:pStyle w:val="Compact"/>
              <w:jc w:val="left"/>
            </w:pPr>
            <w:r>
              <w:rPr>
                <w:rFonts w:ascii="Arial" w:hAnsi="Arial" w:cs="Arial"/>
                <w:b/>
              </w:rPr>
              <w:t xml:space="preserve">Theoretical Foundation</w:t>
            </w:r>
          </w:p>
        </w:tc>
        <w:tc>
          <w:p>
            <w:pPr>
              <w:pStyle w:val="Compact"/>
              <w:jc w:val="left"/>
            </w:pPr>
            <w:r>
              <w:rPr>
                <w:rFonts w:ascii="Arial" w:hAnsi="Arial" w:cs="Arial"/>
              </w:rPr>
              <w:t xml:space="preserve">██</w:t>
            </w:r>
          </w:p>
        </w:tc>
        <w:tc>
          <w:p/>
        </w:tc>
        <w:tc>
          <w:p/>
        </w:tc>
        <w:tc>
          <w:p/>
        </w:tc>
        <w:tc>
          <w:p/>
        </w:tc>
        <w:tc>
          <w:p/>
        </w:tc>
        <w:tc>
          <w:p/>
        </w:tc>
      </w:tr>
      <w:tr>
        <w:tc>
          <w:p>
            <w:pPr>
              <w:pStyle w:val="Compact"/>
              <w:jc w:val="left"/>
            </w:pPr>
            <w:r>
              <w:rPr>
                <w:rFonts w:ascii="Arial" w:hAnsi="Arial" w:cs="Arial"/>
                <w:b/>
              </w:rPr>
              <w:t xml:space="preserve">Experimental Community</w:t>
            </w:r>
          </w:p>
        </w:tc>
        <w:tc>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c>
          <w:p/>
        </w:tc>
        <w:tc>
          <w:p/>
        </w:tc>
        <w:tc>
          <w:p/>
        </w:tc>
      </w:tr>
      <w:tr>
        <w:tc>
          <w:p>
            <w:pPr>
              <w:pStyle w:val="Compact"/>
              <w:jc w:val="left"/>
            </w:pPr>
            <w:r>
              <w:rPr>
                <w:rFonts w:ascii="Arial" w:hAnsi="Arial" w:cs="Arial"/>
                <w:b/>
              </w:rPr>
              <w:t xml:space="preserve">Demonstration City</w:t>
            </w:r>
          </w:p>
        </w:tc>
        <w:tc>
          <w:p/>
        </w:tc>
        <w:tc>
          <w:p/>
        </w:tc>
        <w:tc>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c>
          <w:p/>
        </w:tc>
      </w:tr>
      <w:tr>
        <w:tc>
          <w:p>
            <w:pPr>
              <w:pStyle w:val="Compact"/>
              <w:jc w:val="left"/>
            </w:pPr>
            <w:r>
              <w:rPr>
                <w:rFonts w:ascii="Arial" w:hAnsi="Arial" w:cs="Arial"/>
                <w:b/>
              </w:rPr>
              <w:t xml:space="preserve">Global Alliance</w:t>
            </w:r>
          </w:p>
        </w:tc>
        <w:tc>
          <w:p/>
        </w:tc>
        <w:tc>
          <w:p/>
        </w:tc>
        <w:tc>
          <w:p/>
        </w:tc>
        <w:tc>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c>
          <w:p>
            <w:pPr>
              <w:pStyle w:val="Compact"/>
              <w:jc w:val="left"/>
            </w:pPr>
            <w:r>
              <w:rPr>
                <w:rFonts w:ascii="Arial" w:hAnsi="Arial" w:cs="Arial"/>
              </w:rPr>
              <w:t xml:space="preserve">██</w:t>
            </w:r>
          </w:p>
        </w:tc>
      </w:tr>
    </w:tbl>
    <w:p>
      <w:pPr>
        <w:pStyle w:val="BodyText"/>
      </w:pPr>
      <w:r>
        <w:rPr>
          <w:rFonts w:ascii="Arial" w:hAnsi="Arial" w:cs="Arial"/>
        </w:rPr>
        <w:t xml:space="preserve">Note: ██ indicates the primary execution period; ░░ indicates the preparation/transition period. Strategic overlaps exist between phases, ensuring smooth transitions and knowledge transfer.</w:t>
      </w:r>
    </w:p>
    <w:p>
      <w:pPr>
        <w:pStyle w:val="BodyText"/>
      </w:pPr>
      <w:r>
        <w:rPr>
          <w:rFonts w:ascii="Arial" w:hAnsi="Arial" w:cs="Arial"/>
          <w:b/>
        </w:rPr>
        <w:t xml:space="preserve">Phase 1: Theoretical Foundation (0-12 Months)</w:t>
      </w:r>
    </w:p>
    <w:p>
      <w:pPr>
        <w:pStyle w:val="BodyText"/>
      </w:pPr>
      <w:r>
        <w:rPr>
          <w:rFonts w:ascii="Arial" w:hAnsi="Arial" w:cs="Arial"/>
          <w:b/>
        </w:rPr>
        <w:t xml:space="preserve">Phase Objectives</w:t>
      </w:r>
    </w:p>
    <w:p>
      <w:pPr>
        <w:pStyle w:val="BodyText"/>
      </w:pPr>
      <w:r>
        <w:rPr>
          <w:rFonts w:ascii="Arial" w:hAnsi="Arial" w:cs="Arial"/>
        </w:rPr>
        <w:t xml:space="preserve">The fundamental objective of Phase 1 is to complete the theoretical construction and finalization of the DAOTONG governance system, forming a complete governance framework subject to international review, verification, and discussion. Core deliverables of this phase include: final governance white paper, Constitution draft, technical architecture specifications, risk assessment report, and international cooperation memoranda. All documents must undergo at least three rounds of independent expert review, ensuring theoretical completeness and practical feasibility.</w:t>
      </w:r>
    </w:p>
    <w:p>
      <w:pPr>
        <w:pStyle w:val="BodyText"/>
      </w:pPr>
      <w:r>
        <w:rPr>
          <w:rFonts w:ascii="Arial" w:hAnsi="Arial" w:cs="Arial"/>
          <w:b/>
        </w:rPr>
        <w:t xml:space="preserve">Key Milestones</w:t>
      </w:r>
    </w:p>
    <w:p>
      <w:pPr>
        <w:pStyle w:val="BlockText"/>
      </w:pPr>
      <w:r>
        <w:rPr>
          <w:rFonts w:ascii="Arial" w:hAnsi="Arial" w:cs="Arial"/>
        </w:rPr>
        <w:t xml:space="preserve">• Months 1-3: Complete initial draft of governance white paper, covering three-layer governance architecture, six core modules, and risk countermeasures framework</w:t>
      </w:r>
    </w:p>
    <w:p>
      <w:pPr>
        <w:pStyle w:val="BlockText"/>
      </w:pPr>
      <w:r>
        <w:rPr>
          <w:rFonts w:ascii="Arial" w:hAnsi="Arial" w:cs="Arial"/>
        </w:rPr>
        <w:t xml:space="preserve">• Months 3-5: Complete technical architecture design of AI Governance Core (AIGC), including model selection, constraint framework, and audit mechanisms</w:t>
      </w:r>
    </w:p>
    <w:p>
      <w:pPr>
        <w:pStyle w:val="BlockText"/>
      </w:pPr>
      <w:r>
        <w:rPr>
          <w:rFonts w:ascii="Arial" w:hAnsi="Arial" w:cs="Arial"/>
        </w:rPr>
        <w:t xml:space="preserve">• Months 4-6: Complete design specifications for Digital Citizen identity system, including ID data hierarchy, registration process, and privacy protection solutions</w:t>
      </w:r>
    </w:p>
    <w:p>
      <w:pPr>
        <w:pStyle w:val="BlockText"/>
      </w:pPr>
      <w:r>
        <w:rPr>
          <w:rFonts w:ascii="Arial" w:hAnsi="Arial" w:cs="Arial"/>
        </w:rPr>
        <w:t xml:space="preserve">• Months 5-8: Complete Constitution draft, specifying citizen rights, AI power boundaries, and Emergency Stop procedures</w:t>
      </w:r>
    </w:p>
    <w:p>
      <w:pPr>
        <w:pStyle w:val="BlockText"/>
      </w:pPr>
      <w:r>
        <w:rPr>
          <w:rFonts w:ascii="Arial" w:hAnsi="Arial" w:cs="Arial"/>
        </w:rPr>
        <w:t xml:space="preserve">• Months 7-10: Complete risk identification and response matrix, covering technology risks, political risks, and social risks</w:t>
      </w:r>
    </w:p>
    <w:p>
      <w:pPr>
        <w:pStyle w:val="BlockText"/>
      </w:pPr>
      <w:r>
        <w:rPr>
          <w:rFonts w:ascii="Arial" w:hAnsi="Arial" w:cs="Arial"/>
        </w:rPr>
        <w:t xml:space="preserve">• Months 9-12: Finalize and publish white paper, initiate global academic discussion and international organization engagement</w:t>
      </w:r>
    </w:p>
    <w:p>
      <w:pPr>
        <w:pStyle w:val="FirstParagraph"/>
      </w:pPr>
      <w:r>
        <w:rPr>
          <w:rFonts w:ascii="Arial" w:hAnsi="Arial" w:cs="Arial"/>
          <w:b/>
        </w:rPr>
        <w:t xml:space="preserve">Success Indicators</w:t>
      </w:r>
    </w:p>
    <w:p>
      <w:pPr>
        <w:pStyle w:val="BlockText"/>
      </w:pPr>
      <w:r>
        <w:rPr>
          <w:rFonts w:ascii="Arial" w:hAnsi="Arial" w:cs="Arial"/>
        </w:rPr>
        <w:t xml:space="preserve">• White paper receives review invitations or commentary from at least 3 international top-tier journals</w:t>
      </w:r>
    </w:p>
    <w:p>
      <w:pPr>
        <w:pStyle w:val="BlockText"/>
      </w:pPr>
      <w:r>
        <w:rPr>
          <w:rFonts w:ascii="Arial" w:hAnsi="Arial" w:cs="Arial"/>
        </w:rPr>
        <w:t xml:space="preserve">• Technical architecture scheme passes preliminary review by at least 2 independent security audit institutions</w:t>
      </w:r>
    </w:p>
    <w:p>
      <w:pPr>
        <w:pStyle w:val="BlockText"/>
      </w:pPr>
      <w:r>
        <w:rPr>
          <w:rFonts w:ascii="Arial" w:hAnsi="Arial" w:cs="Arial"/>
        </w:rPr>
        <w:t xml:space="preserve">• Constitution draft receives written commentary from at least 5 constitutional law experts</w:t>
      </w:r>
    </w:p>
    <w:p>
      <w:pPr>
        <w:pStyle w:val="BlockText"/>
      </w:pPr>
      <w:r>
        <w:rPr>
          <w:rFonts w:ascii="Arial" w:hAnsi="Arial" w:cs="Arial"/>
        </w:rPr>
        <w:t xml:space="preserve">• Risk assessment report covers at least 20 identified risk scenarios</w:t>
      </w:r>
    </w:p>
    <w:p>
      <w:pPr>
        <w:pStyle w:val="BlockText"/>
      </w:pPr>
      <w:r>
        <w:rPr>
          <w:rFonts w:ascii="Arial" w:hAnsi="Arial" w:cs="Arial"/>
        </w:rPr>
        <w:t xml:space="preserve">• Established at least 3 formal dialogue channels with international organizations</w:t>
      </w:r>
    </w:p>
    <w:p>
      <w:pPr>
        <w:pStyle w:val="FirstParagraph"/>
      </w:pPr>
      <w:r>
        <w:rPr>
          <w:rFonts w:ascii="Arial" w:hAnsi="Arial" w:cs="Arial"/>
          <w:b/>
        </w:rPr>
        <w:t xml:space="preserve">Risk Contingency Plans</w:t>
      </w:r>
    </w:p>
    <w:p>
      <w:pPr>
        <w:pStyle w:val="BlockText"/>
      </w:pPr>
      <w:r>
        <w:rPr>
          <w:rFonts w:ascii="Arial" w:hAnsi="Arial" w:cs="Arial"/>
        </w:rPr>
        <w:t xml:space="preserve">• Theoretical incompleteness risk—establish iterative revision mechanism, publishing errata versions quarterly</w:t>
      </w:r>
    </w:p>
    <w:p>
      <w:pPr>
        <w:pStyle w:val="BlockText"/>
      </w:pPr>
      <w:r>
        <w:rPr>
          <w:rFonts w:ascii="Arial" w:hAnsi="Arial" w:cs="Arial"/>
        </w:rPr>
        <w:t xml:space="preserve">• Academic resistance risk—organize open debate forums, inviting critics to participate in review</w:t>
      </w:r>
    </w:p>
    <w:p>
      <w:pPr>
        <w:pStyle w:val="BlockText"/>
      </w:pPr>
      <w:r>
        <w:rPr>
          <w:rFonts w:ascii="Arial" w:hAnsi="Arial" w:cs="Arial"/>
        </w:rPr>
        <w:t xml:space="preserve">• Technical feasibilityquestion—collaborate with top AI laboratories for prototype verification experiments</w:t>
      </w:r>
    </w:p>
    <w:p>
      <w:pPr>
        <w:pStyle w:val="FirstParagraph"/>
      </w:pPr>
      <w:r>
        <w:rPr>
          <w:rFonts w:ascii="Arial" w:hAnsi="Arial" w:cs="Arial"/>
          <w:b/>
        </w:rPr>
        <w:t xml:space="preserve">Transition Conditions to Phase 2</w:t>
      </w:r>
    </w:p>
    <w:p>
      <w:pPr>
        <w:pStyle w:val="BodyText"/>
      </w:pPr>
      <w:r>
        <w:rPr>
          <w:rFonts w:ascii="Arial" w:hAnsi="Arial" w:cs="Arial"/>
        </w:rPr>
        <w:t xml:space="preserve">Transition from Phase 1 to Phase 2 requires simultaneous satisfaction of the following conditions: white paper officially published with formal response from at least 1 international organization; technical architecture scheme passes independent security audit; experimental community site selection completes initial screening; startup capital in place (minimum USD 5 million equivalent in crypto assets). Failure to satisfy any item delays entry to Phase 2, but no later than 18 months.</w:t>
      </w:r>
    </w:p>
    <w:p>
      <w:pPr>
        <w:pStyle w:val="BodyText"/>
      </w:pPr>
      <w:r>
        <w:rPr>
          <w:rFonts w:ascii="Arial" w:hAnsi="Arial" w:cs="Arial"/>
          <w:b/>
        </w:rPr>
        <w:t xml:space="preserve">Phase 2: Experimental Community (1-3 Years)</w:t>
      </w:r>
    </w:p>
    <w:p>
      <w:pPr>
        <w:pStyle w:val="BodyText"/>
      </w:pPr>
      <w:r>
        <w:rPr>
          <w:rFonts w:ascii="Arial" w:hAnsi="Arial" w:cs="Arial"/>
          <w:b/>
        </w:rPr>
        <w:t xml:space="preserve">Phase Objectives</w:t>
      </w:r>
    </w:p>
    <w:p>
      <w:pPr>
        <w:pStyle w:val="BodyText"/>
      </w:pPr>
      <w:r>
        <w:rPr>
          <w:rFonts w:ascii="Arial" w:hAnsi="Arial" w:cs="Arial"/>
        </w:rPr>
        <w:t>The core objective of Phase 2 is to deploy a prototype DAOTONG governance system in a real community of 10,000-50,000 people, verifying the operational effectiveness of the theoretical framework in a real social environment. The experimental community will fully deploy the three-layer governance architecture and six core modules, collecting operational data for iterative system parameter optimization. The key principle of this phase is “safe trial and error”—discovering and resolving problems within controllable scale, avoiding systemic failures when deploying at larger scales.</w:t>
      </w:r>
    </w:p>
    <w:p>
      <w:pPr>
        <w:pStyle w:val="BodyText"/>
      </w:pPr>
      <w:r>
        <w:rPr>
          <w:rFonts w:ascii="Arial" w:hAnsi="Arial" w:cs="Arial"/>
          <w:b/>
        </w:rPr>
        <w:t xml:space="preserve">Key Milestones</w:t>
      </w:r>
    </w:p>
    <w:p>
      <w:pPr>
        <w:pStyle w:val="BlockText"/>
      </w:pPr>
      <w:r>
        <w:rPr>
          <w:rFonts w:ascii="Arial" w:hAnsi="Arial" w:cs="Arial"/>
        </w:rPr>
        <w:t xml:space="preserve">• Months 13-18: Complete experimental community site selection, infrastructure construction, and initial resident recruitment</w:t>
      </w:r>
    </w:p>
    <w:p>
      <w:pPr>
        <w:pStyle w:val="BlockText"/>
      </w:pPr>
      <w:r>
        <w:rPr>
          <w:rFonts w:ascii="Arial" w:hAnsi="Arial" w:cs="Arial"/>
        </w:rPr>
        <w:t xml:space="preserve">• Months 18-24: Deploy AIGC prototype system, initiate Elder Council formation process, and complete first batch of citizen ID registrations</w:t>
      </w:r>
    </w:p>
    <w:p>
      <w:pPr>
        <w:pStyle w:val="BlockText"/>
      </w:pPr>
      <w:r>
        <w:rPr>
          <w:rFonts w:ascii="Arial" w:hAnsi="Arial" w:cs="Arial"/>
        </w:rPr>
        <w:t xml:space="preserve">• Months 24-30: Conduct first on-chain voting, verifying technical feasibility of Consensus Layer</w:t>
      </w:r>
    </w:p>
    <w:p>
      <w:pPr>
        <w:pStyle w:val="BlockText"/>
      </w:pPr>
      <w:r>
        <w:rPr>
          <w:rFonts w:ascii="Arial" w:hAnsi="Arial" w:cs="Arial"/>
        </w:rPr>
        <w:t xml:space="preserve">• Months 30-36: Complete first full governance cycle (legal generation → review → Referendum → execution → evaluation), outputting operational report</w:t>
      </w:r>
    </w:p>
    <w:p>
      <w:pPr>
        <w:pStyle w:val="FirstParagraph"/>
      </w:pPr>
      <w:r>
        <w:rPr>
          <w:rFonts w:ascii="Arial" w:hAnsi="Arial" w:cs="Arial"/>
          <w:b/>
        </w:rPr>
        <w:t xml:space="preserve">Success Indicators</w:t>
      </w:r>
    </w:p>
    <w:p>
      <w:pPr>
        <w:pStyle w:val="BlockText"/>
      </w:pPr>
      <w:r>
        <w:rPr>
          <w:rFonts w:ascii="Arial" w:hAnsi="Arial" w:cs="Arial"/>
        </w:rPr>
        <w:t xml:space="preserve">• Community citizen registration rate exceeds 90% (covering community permanent population)</w:t>
      </w:r>
    </w:p>
    <w:p>
      <w:pPr>
        <w:pStyle w:val="BlockText"/>
      </w:pPr>
      <w:r>
        <w:rPr>
          <w:rFonts w:ascii="Arial" w:hAnsi="Arial" w:cs="Arial"/>
        </w:rPr>
        <w:t xml:space="preserve">• AIGC decision generation accuracy exceeds 85% (evaluated by experts)</w:t>
      </w:r>
    </w:p>
    <w:p>
      <w:pPr>
        <w:pStyle w:val="BlockText"/>
      </w:pPr>
      <w:r>
        <w:rPr>
          <w:rFonts w:ascii="Arial" w:hAnsi="Arial" w:cs="Arial"/>
        </w:rPr>
        <w:t xml:space="preserve">• On-chain voting participation rate exceeds 60%</w:t>
      </w:r>
    </w:p>
    <w:p>
      <w:pPr>
        <w:pStyle w:val="BlockText"/>
      </w:pPr>
      <w:r>
        <w:rPr>
          <w:rFonts w:ascii="Arial" w:hAnsi="Arial" w:cs="Arial"/>
        </w:rPr>
        <w:t xml:space="preserve">• Elder Council veto rate below 15% (indicating high AIGC decision quality)</w:t>
      </w:r>
    </w:p>
    <w:p>
      <w:pPr>
        <w:pStyle w:val="BlockText"/>
      </w:pPr>
      <w:r>
        <w:rPr>
          <w:rFonts w:ascii="Arial" w:hAnsi="Arial" w:cs="Arial"/>
        </w:rPr>
        <w:t xml:space="preserve">• Citizen satisfaction score reaches 7/10 or above</w:t>
      </w:r>
    </w:p>
    <w:p>
      <w:pPr>
        <w:pStyle w:val="BlockText"/>
      </w:pPr>
      <w:r>
        <w:rPr>
          <w:rFonts w:ascii="Arial" w:hAnsi="Arial" w:cs="Arial"/>
        </w:rPr>
        <w:t xml:space="preserve">• Zero major safety incidents (no data breaches, no rights violations, no system downtime exceeding 24 hours)</w:t>
      </w:r>
    </w:p>
    <w:p>
      <w:pPr>
        <w:pStyle w:val="FirstParagraph"/>
      </w:pPr>
      <w:r>
        <w:rPr>
          <w:rFonts w:ascii="Arial" w:hAnsi="Arial" w:cs="Arial"/>
          <w:b/>
        </w:rPr>
        <w:t xml:space="preserve">Risk Contingency Plans</w:t>
      </w:r>
    </w:p>
    <w:p>
      <w:pPr>
        <w:pStyle w:val="BlockText"/>
      </w:pPr>
      <w:r>
        <w:rPr>
          <w:rFonts w:ascii="Arial" w:hAnsi="Arial" w:cs="Arial"/>
        </w:rPr>
        <w:t xml:space="preserve">• Insufficient community scale—initiate multi-community parallel experiments, expanding data samples</w:t>
      </w:r>
    </w:p>
    <w:p>
      <w:pPr>
        <w:pStyle w:val="BlockText"/>
      </w:pPr>
      <w:r>
        <w:rPr>
          <w:rFonts w:ascii="Arial" w:hAnsi="Arial" w:cs="Arial"/>
        </w:rPr>
        <w:t xml:space="preserve">• Low citizen participation—introduce incentive mechanisms (contribution scoring), optimize voting interface</w:t>
      </w:r>
    </w:p>
    <w:p>
      <w:pPr>
        <w:pStyle w:val="BlockText"/>
      </w:pPr>
      <w:r>
        <w:rPr>
          <w:rFonts w:ascii="Arial" w:hAnsi="Arial" w:cs="Arial"/>
        </w:rPr>
        <w:t xml:space="preserve">• AIGC decision errors—establish fast-track veto channel, Elder Council 24-hour emergency veto authority</w:t>
      </w:r>
    </w:p>
    <w:p>
      <w:pPr>
        <w:pStyle w:val="BlockText"/>
      </w:pPr>
      <w:r>
        <w:rPr>
          <w:rFonts w:ascii="Arial" w:hAnsi="Arial" w:cs="Arial"/>
        </w:rPr>
        <w:t xml:space="preserve">• External attacks—deploy security protection mechanisms, initiate open-source audit procedures</w:t>
      </w:r>
    </w:p>
    <w:p>
      <w:pPr>
        <w:pStyle w:val="FirstParagraph"/>
      </w:pPr>
      <w:r>
        <w:rPr>
          <w:rFonts w:ascii="Arial" w:hAnsi="Arial" w:cs="Arial"/>
          <w:b/>
        </w:rPr>
        <w:t xml:space="preserve">Transition Conditions to Phase 3</w:t>
      </w:r>
    </w:p>
    <w:p>
      <w:pPr>
        <w:pStyle w:val="BodyText"/>
      </w:pPr>
      <w:r>
        <w:rPr>
          <w:rFonts w:ascii="Arial" w:hAnsi="Arial" w:cs="Arial"/>
        </w:rPr>
        <w:t xml:space="preserve">Transition from Phase 2 to Phase 3 requires: experimental community operating continuously for 12 months without major failures; AIGC decision accuracy stably above 85%; citizen participation consistently exceeding 50%; independent third-party evaluation institution issuing positive evaluation report; demonstration city site selection and planning completing initial argumentation.</w:t>
      </w:r>
    </w:p>
    <w:p>
      <w:pPr>
        <w:pStyle w:val="BodyText"/>
      </w:pPr>
      <w:r>
        <w:rPr>
          <w:rFonts w:ascii="Arial" w:hAnsi="Arial" w:cs="Arial"/>
          <w:b/>
        </w:rPr>
        <w:t xml:space="preserve">Phase 3: Demonstration City (3-8 Years)</w:t>
      </w:r>
    </w:p>
    <w:p>
      <w:pPr>
        <w:pStyle w:val="BodyText"/>
      </w:pPr>
      <w:r>
        <w:rPr>
          <w:rFonts w:ascii="Arial" w:hAnsi="Arial" w:cs="Arial"/>
          <w:b/>
        </w:rPr>
        <w:t xml:space="preserve">Phase Objectives</w:t>
      </w:r>
    </w:p>
    <w:p>
      <w:pPr>
        <w:pStyle w:val="BodyText"/>
      </w:pPr>
      <w:r>
        <w:rPr>
          <w:rFonts w:ascii="Arial" w:hAnsi="Arial" w:cs="Arial"/>
        </w:rPr>
        <w:t>Phase 3 expands the DAOTONG governance system from a 10,000-level community to a demonstration city of 100,000-500,000 population, achieving complete city-level AI governance operations. The demonstration city will assume the role of “civilizational model,” providing referable practical cases for global replication. This phase focuses on performance degradation issues at system scale, adaptation issues of diverse population governance, and interface alignment with external traditional governance systems.</w:t>
      </w:r>
    </w:p>
    <w:p>
      <w:pPr>
        <w:pStyle w:val="BodyText"/>
      </w:pPr>
      <w:r>
        <w:rPr>
          <w:rFonts w:ascii="Arial" w:hAnsi="Arial" w:cs="Arial"/>
          <w:b/>
        </w:rPr>
        <w:t xml:space="preserve">Key Milestones</w:t>
      </w:r>
    </w:p>
    <w:p>
      <w:pPr>
        <w:pStyle w:val="BlockText"/>
      </w:pPr>
      <w:r>
        <w:rPr>
          <w:rFonts w:ascii="Arial" w:hAnsi="Arial" w:cs="Arial"/>
        </w:rPr>
        <w:t xml:space="preserve">• Years 3-4: Complete demonstration city site selection and legal framework construction, signcharter city agreement with host nation</w:t>
      </w:r>
    </w:p>
    <w:p>
      <w:pPr>
        <w:pStyle w:val="BlockText"/>
      </w:pPr>
      <w:r>
        <w:rPr>
          <w:rFonts w:ascii="Arial" w:hAnsi="Arial" w:cs="Arial"/>
        </w:rPr>
        <w:t xml:space="preserve">• Years 4-5: Deploy city-level AIGC system, complete 100,000-person-scale citizen ID registration and verification</w:t>
      </w:r>
    </w:p>
    <w:p>
      <w:pPr>
        <w:pStyle w:val="BlockText"/>
      </w:pPr>
      <w:r>
        <w:rPr>
          <w:rFonts w:ascii="Arial" w:hAnsi="Arial" w:cs="Arial"/>
        </w:rPr>
        <w:t xml:space="preserve">• Years 5-6: Achieve full on-chain transparent fiscal budget operations, initiate UBI digital equity distribution</w:t>
      </w:r>
    </w:p>
    <w:p>
      <w:pPr>
        <w:pStyle w:val="BlockText"/>
      </w:pPr>
      <w:r>
        <w:rPr>
          <w:rFonts w:ascii="Arial" w:hAnsi="Arial" w:cs="Arial"/>
        </w:rPr>
        <w:t xml:space="preserve">• Years 6-7: AI judicial system officially operates, complete first batch of on-chain judicial rulings</w:t>
      </w:r>
    </w:p>
    <w:p>
      <w:pPr>
        <w:pStyle w:val="BlockText"/>
      </w:pPr>
      <w:r>
        <w:rPr>
          <w:rFonts w:ascii="Arial" w:hAnsi="Arial" w:cs="Arial"/>
        </w:rPr>
        <w:t xml:space="preserve">• Years 7-8: Output demonstration city operational evaluation report, initiate global replication promotion plan</w:t>
      </w:r>
    </w:p>
    <w:p>
      <w:pPr>
        <w:pStyle w:val="FirstParagraph"/>
      </w:pPr>
      <w:r>
        <w:rPr>
          <w:rFonts w:ascii="Arial" w:hAnsi="Arial" w:cs="Arial"/>
          <w:b/>
        </w:rPr>
        <w:t xml:space="preserve">Success Indicators</w:t>
      </w:r>
    </w:p>
    <w:p>
      <w:pPr>
        <w:pStyle w:val="BlockText"/>
      </w:pPr>
      <w:r>
        <w:rPr>
          <w:rFonts w:ascii="Arial" w:hAnsi="Arial" w:cs="Arial"/>
        </w:rPr>
        <w:t xml:space="preserve">• City population reaches above 300,000, citizen ID coverage rate 95%</w:t>
      </w:r>
    </w:p>
    <w:p>
      <w:pPr>
        <w:pStyle w:val="BlockText"/>
      </w:pPr>
      <w:r>
        <w:rPr>
          <w:rFonts w:ascii="Arial" w:hAnsi="Arial" w:cs="Arial"/>
        </w:rPr>
        <w:t xml:space="preserve">• AIGC handles over 70% of daily governance affairs (remaining 30% handled by human decisions)</w:t>
      </w:r>
    </w:p>
    <w:p>
      <w:pPr>
        <w:pStyle w:val="BlockText"/>
      </w:pPr>
      <w:r>
        <w:rPr>
          <w:rFonts w:ascii="Arial" w:hAnsi="Arial" w:cs="Arial"/>
        </w:rPr>
        <w:t xml:space="preserve">• On-chain voting participation rate consistently exceeds 55%</w:t>
      </w:r>
    </w:p>
    <w:p>
      <w:pPr>
        <w:pStyle w:val="BlockText"/>
      </w:pPr>
      <w:r>
        <w:rPr>
          <w:rFonts w:ascii="Arial" w:hAnsi="Arial" w:cs="Arial"/>
        </w:rPr>
        <w:t xml:space="preserve">• UBI distribution accuracy 100%, fiscal transparency audit passed</w:t>
      </w:r>
    </w:p>
    <w:p>
      <w:pPr>
        <w:pStyle w:val="BlockText"/>
      </w:pPr>
      <w:r>
        <w:rPr>
          <w:rFonts w:ascii="Arial" w:hAnsi="Arial" w:cs="Arial"/>
        </w:rPr>
        <w:t xml:space="preserve">• AI judicial ruling appeal rate below 10%</w:t>
      </w:r>
    </w:p>
    <w:p>
      <w:pPr>
        <w:pStyle w:val="BlockText"/>
      </w:pPr>
      <w:r>
        <w:rPr>
          <w:rFonts w:ascii="Arial" w:hAnsi="Arial" w:cs="Arial"/>
        </w:rPr>
        <w:t xml:space="preserve">• Social indicators such as crime rate and poverty rate outperform comparable-scale traditionally governed cities</w:t>
      </w:r>
    </w:p>
    <w:p>
      <w:pPr>
        <w:pStyle w:val="FirstParagraph"/>
      </w:pPr>
      <w:r>
        <w:rPr>
          <w:rFonts w:ascii="Arial" w:hAnsi="Arial" w:cs="Arial"/>
          <w:b/>
        </w:rPr>
        <w:t xml:space="preserve">Risk Contingency Plans</w:t>
      </w:r>
    </w:p>
    <w:p>
      <w:pPr>
        <w:pStyle w:val="BlockText"/>
      </w:pPr>
      <w:r>
        <w:rPr>
          <w:rFonts w:ascii="Arial" w:hAnsi="Arial" w:cs="Arial"/>
        </w:rPr>
        <w:t xml:space="preserve">• Scale performance degradation—adopt Federated Learning architecture, community-level local computation plus city-level coordination</w:t>
      </w:r>
    </w:p>
    <w:p>
      <w:pPr>
        <w:pStyle w:val="BlockText"/>
      </w:pPr>
      <w:r>
        <w:rPr>
          <w:rFonts w:ascii="Arial" w:hAnsi="Arial" w:cs="Arial"/>
        </w:rPr>
        <w:t xml:space="preserve">• Multi-cultural conflicts—design cultural adaptation layer, AIGC supports multi-language multi-cultural decision-making</w:t>
      </w:r>
    </w:p>
    <w:p>
      <w:pPr>
        <w:pStyle w:val="BlockText"/>
      </w:pPr>
      <w:r>
        <w:rPr>
          <w:rFonts w:ascii="Arial" w:hAnsi="Arial" w:cs="Arial"/>
        </w:rPr>
        <w:t xml:space="preserve">• Sovereign national legal conflicts—sign explicit legal application agreements, establish dispute arbitration mechanisms</w:t>
      </w:r>
    </w:p>
    <w:p>
      <w:pPr>
        <w:pStyle w:val="BlockText"/>
      </w:pPr>
      <w:r>
        <w:rPr>
          <w:rFonts w:ascii="Arial" w:hAnsi="Arial" w:cs="Arial"/>
        </w:rPr>
        <w:t xml:space="preserve">• Economic sustainability—establish diversified revenue models (digital service tax, land value appreciation, technology licensing)</w:t>
      </w:r>
    </w:p>
    <w:p>
      <w:pPr>
        <w:pStyle w:val="FirstParagraph"/>
      </w:pPr>
      <w:r>
        <w:rPr>
          <w:rFonts w:ascii="Arial" w:hAnsi="Arial" w:cs="Arial"/>
          <w:b/>
        </w:rPr>
        <w:t xml:space="preserve">Transition Conditions to Phase 4</w:t>
      </w:r>
    </w:p>
    <w:p>
      <w:pPr>
        <w:pStyle w:val="BodyText"/>
      </w:pPr>
      <w:r>
        <w:rPr>
          <w:rFonts w:ascii="Arial" w:hAnsi="Arial" w:cs="Arial"/>
        </w:rPr>
        <w:t>Transition from Phase 3 to Phase 4 requires simultaneous satisfaction of: demonstration city operating continuously for 3 years with evaluation rated “good” or above; independent international audit institution issuing positive report; at least 2 cities expressing formal alliance intent; Global Alliance Charter draft completing first round of negotiations.</w:t>
      </w:r>
    </w:p>
    <w:p>
      <w:pPr>
        <w:pStyle w:val="BodyText"/>
      </w:pPr>
      <w:r>
        <w:rPr>
          <w:rFonts w:ascii="Arial" w:hAnsi="Arial" w:cs="Arial"/>
          <w:b/>
        </w:rPr>
        <w:t xml:space="preserve">Phase 4: Global Alliance (8-20 Years)</w:t>
      </w:r>
    </w:p>
    <w:p>
      <w:pPr>
        <w:pStyle w:val="BodyText"/>
      </w:pPr>
      <w:r>
        <w:rPr>
          <w:rFonts w:ascii="Arial" w:hAnsi="Arial" w:cs="Arial"/>
          <w:b/>
        </w:rPr>
        <w:t xml:space="preserve">Phase Objectives</w:t>
      </w:r>
    </w:p>
    <w:p>
      <w:pPr>
        <w:pStyle w:val="BodyText"/>
      </w:pPr>
      <w:r>
        <w:rPr>
          <w:rFonts w:ascii="Arial" w:hAnsi="Arial" w:cs="Arial"/>
        </w:rPr>
        <w:t xml:space="preserve">The grand objective of Phase 4 is to expand the DAOTONG governance system from a single demonstration city into a global AI civilization governance alliance network. Through replicating demonstration city models, establishing inter-city cooperation agreements, and promoting international standard alignment, ultimately achieve an AI civilization governance ecosystem covering several million to tens of millions of population. The core challenges of this phase involve cross-cultural adaptation of the governance system, inter-city governance coordination, and peaceful coexistence with traditional national systems.</w:t>
      </w:r>
    </w:p>
    <w:p>
      <w:pPr>
        <w:pStyle w:val="BodyText"/>
      </w:pPr>
      <w:r>
        <w:rPr>
          <w:rFonts w:ascii="Arial" w:hAnsi="Arial" w:cs="Arial"/>
          <w:b/>
        </w:rPr>
        <w:t xml:space="preserve">Key Milestones</w:t>
      </w:r>
    </w:p>
    <w:p>
      <w:pPr>
        <w:pStyle w:val="BlockText"/>
      </w:pPr>
      <w:r>
        <w:rPr>
          <w:rFonts w:ascii="Arial" w:hAnsi="Arial" w:cs="Arial"/>
        </w:rPr>
        <w:t xml:space="preserve">• Years 8-10: Complete Global Alliance Charter signing, first batch of 3-5 alliance cities initiating deployment</w:t>
      </w:r>
    </w:p>
    <w:p>
      <w:pPr>
        <w:pStyle w:val="BlockText"/>
      </w:pPr>
      <w:r>
        <w:rPr>
          <w:rFonts w:ascii="Arial" w:hAnsi="Arial" w:cs="Arial"/>
        </w:rPr>
        <w:t xml:space="preserve">• Years 10-13: Establish inter-city governance coordination mechanism, achieve citizen cross-city migration and rights portability</w:t>
      </w:r>
    </w:p>
    <w:p>
      <w:pPr>
        <w:pStyle w:val="BlockText"/>
      </w:pPr>
      <w:r>
        <w:rPr>
          <w:rFonts w:ascii="Arial" w:hAnsi="Arial" w:cs="Arial"/>
        </w:rPr>
        <w:t xml:space="preserve">• Years 13-16: Promote DAOTONG governance standards to become international reference standards (ISO/IEEE)</w:t>
      </w:r>
    </w:p>
    <w:p>
      <w:pPr>
        <w:pStyle w:val="BlockText"/>
      </w:pPr>
      <w:r>
        <w:rPr>
          <w:rFonts w:ascii="Arial" w:hAnsi="Arial" w:cs="Arial"/>
        </w:rPr>
        <w:t xml:space="preserve">• Years 16-20: Alliance cities covering population exceeding 10 million, forming a sustainable AI civilization network</w:t>
      </w:r>
    </w:p>
    <w:p>
      <w:pPr>
        <w:pStyle w:val="FirstParagraph"/>
      </w:pPr>
      <w:r>
        <w:rPr>
          <w:rFonts w:ascii="Arial" w:hAnsi="Arial" w:cs="Arial"/>
          <w:b/>
        </w:rPr>
        <w:t xml:space="preserve">Success Metrics</w:t>
      </w:r>
    </w:p>
    <w:p>
      <w:pPr>
        <w:pStyle w:val="BlockText"/>
      </w:pPr>
      <w:r>
        <w:rPr>
          <w:rFonts w:ascii="Arial" w:hAnsi="Arial" w:cs="Arial"/>
        </w:rPr>
        <w:t xml:space="preserve">• Number of member cities reaches 10 or more, distributed across at least 3 continents</w:t>
      </w:r>
    </w:p>
    <w:p>
      <w:pPr>
        <w:pStyle w:val="BlockText"/>
      </w:pPr>
      <w:r>
        <w:rPr>
          <w:rFonts w:ascii="Arial" w:hAnsi="Arial" w:cs="Arial"/>
        </w:rPr>
        <w:t xml:space="preserve">• Total alliance population exceeds 5 million</w:t>
      </w:r>
    </w:p>
    <w:p>
      <w:pPr>
        <w:pStyle w:val="BlockText"/>
      </w:pPr>
      <w:r>
        <w:rPr>
          <w:rFonts w:ascii="Arial" w:hAnsi="Arial" w:cs="Arial"/>
        </w:rPr>
        <w:t xml:space="preserve">• Annual inter-city citizen migration flow reaches 5% or more of total population</w:t>
      </w:r>
    </w:p>
    <w:p>
      <w:pPr>
        <w:pStyle w:val="BlockText"/>
      </w:pPr>
      <w:r>
        <w:rPr>
          <w:rFonts w:ascii="Arial" w:hAnsi="Arial" w:cs="Arial"/>
        </w:rPr>
        <w:t xml:space="preserve">• DAOTONG governance standards adopted by at least 1 international standards organization</w:t>
      </w:r>
    </w:p>
    <w:p>
      <w:pPr>
        <w:pStyle w:val="BlockText"/>
      </w:pPr>
      <w:r>
        <w:rPr>
          <w:rFonts w:ascii="Arial" w:hAnsi="Arial" w:cs="Arial"/>
        </w:rPr>
        <w:t xml:space="preserve">• Number of formal diplomatic relations established with traditional nation-states exceeds 5</w:t>
      </w:r>
    </w:p>
    <w:p>
      <w:pPr>
        <w:pStyle w:val="FirstParagraph"/>
      </w:pPr>
      <w:r>
        <w:rPr>
          <w:rFonts w:ascii="Arial" w:hAnsi="Arial" w:cs="Arial"/>
          <w:b/>
        </w:rPr>
        <w:t xml:space="preserve">Risk Contingency Plans</w:t>
      </w:r>
    </w:p>
    <w:p>
      <w:pPr>
        <w:pStyle w:val="BlockText"/>
      </w:pPr>
      <w:r>
        <w:rPr>
          <w:rFonts w:ascii="Arial" w:hAnsi="Arial" w:cs="Arial"/>
        </w:rPr>
        <w:t xml:space="preserve">• Geopolitical resistance——Prioritize economic cooperation strategies, avoid ideological confrontation</w:t>
      </w:r>
    </w:p>
    <w:p>
      <w:pPr>
        <w:pStyle w:val="BlockText"/>
      </w:pPr>
      <w:r>
        <w:rPr>
          <w:rFonts w:ascii="Arial" w:hAnsi="Arial" w:cs="Arial"/>
        </w:rPr>
        <w:t xml:space="preserve">• Inter-city governance conflicts——Establish inter-city arbitration tribunal with AI-assisted coordination</w:t>
      </w:r>
    </w:p>
    <w:p>
      <w:pPr>
        <w:pStyle w:val="BlockText"/>
      </w:pPr>
      <w:r>
        <w:rPr>
          <w:rFonts w:ascii="Arial" w:hAnsi="Arial" w:cs="Arial"/>
        </w:rPr>
        <w:t xml:space="preserve">• Governance degradation at scale——Continuously optimize AIGC models, introduce Federated Learning architecture</w:t>
      </w:r>
    </w:p>
    <w:p>
      <w:pPr>
        <w:pStyle w:val="BlockText"/>
      </w:pPr>
      <w:r>
        <w:rPr>
          <w:rFonts w:ascii="Arial" w:hAnsi="Arial" w:cs="Arial"/>
        </w:rPr>
        <w:t xml:space="preserve">• Backlash from traditional systems——Use demonstration effect as core strategy, let facts speak</w:t>
      </w:r>
    </w:p>
    <w:p>
      <w:pPr>
        <w:pStyle w:val="FirstParagraph"/>
      </w:pPr>
      <w:r>
        <w:rPr>
          <w:rFonts w:ascii="Arial" w:hAnsi="Arial" w:cs="Arial"/>
          <w:b/>
        </w:rPr>
        <w:t xml:space="preserve">Final Integration</w:t>
      </w:r>
    </w:p>
    <w:p>
      <w:pPr>
        <w:pStyle w:val="BodyText"/>
      </w:pPr>
      <w:r>
        <w:rPr>
          <w:rFonts w:ascii="Arial" w:hAnsi="Arial" w:cs="Arial"/>
        </w:rPr>
        <w:t>The long-term vision following the completion of Phase 4 is the realization of an “AI Civilization Network·Depoliticized Governance·Verifiable Rule-of-Law Civilization.” When the alliance reaches a stable state in terms of scale and governance maturity, DAOTONG will evolve from an experimental governance framework into a mature civilization-level governance paradigm, providing institutional guarantees for the long-term prosperity of human society.</w:t>
      </w:r>
    </w:p>
    <w:p>
      <w:pPr>
        <w:pStyle w:val="BodyText"/>
      </w:pPr>
      <w:r>
        <w:rPr>
          <w:rFonts w:ascii="Arial" w:hAnsi="Arial" w:cs="Arial"/>
          <w:b/>
        </w:rPr>
        <w:t xml:space="preserve">Part 3: Six Core Modules</w:t>
      </w:r>
    </w:p>
    <w:p>
      <w:pPr>
        <w:pStyle w:val="BodyText"/>
      </w:pPr>
      <w:r>
        <w:rPr>
          <w:rFonts w:ascii="Arial" w:hAnsi="Arial" w:cs="Arial"/>
        </w:rPr>
        <w:t xml:space="preserve">The six core modules of the DAOTONG governance system constitute a complete governance function matrix, with each module operating independently while coordinating synergistically. The following provides a summary description of each module. For detailed design specifications, please refer to the corresponding specialized documents.</w:t>
      </w:r>
    </w:p>
    <w:p>
      <w:pPr>
        <w:pStyle w:val="BodyText"/>
      </w:pPr>
      <w:r>
        <w:rPr>
          <w:rFonts w:ascii="Arial" w:hAnsi="Arial" w:cs="Arial"/>
          <w:b/>
        </w:rPr>
        <w:t xml:space="preserve">Module 1: AI Judicial System</w:t>
      </w:r>
    </w:p>
    <w:p>
      <w:pPr>
        <w:pStyle w:val="BodyText"/>
      </w:pPr>
      <w:r>
        <w:rPr>
          <w:rFonts w:ascii="Arial" w:hAnsi="Arial" w:cs="Arial"/>
        </w:rPr>
        <w:t>The AI Judicial System implements a full-chain judicial process from evidence collection to verdict generation to jury confirmation. The system adopts a three-step design: the evidence collection phase has AI automatically aggregate multi-source evidence and construct an evidence chain graph; the verdict generation phase has AI generate verdict recommendations based on legal knowledge bases and case libraries; the jury confirmation phase has randomly selected citizen juries provide final approval of the verdict recommendations. This system ensures objectivity and consistency in the judicial process while preserving the human right to final judgment. For detailed design, see “DAOTONG_AI_Judicial_System_Complete_Design_Specification.”</w:t>
      </w:r>
    </w:p>
    <w:p>
      <w:pPr>
        <w:pStyle w:val="BodyText"/>
      </w:pPr>
      <w:r>
        <w:rPr>
          <w:rFonts w:ascii="Arial" w:hAnsi="Arial" w:cs="Arial"/>
          <w:b/>
        </w:rPr>
        <w:t xml:space="preserve">Module 2: AI Fiscal Economy</w:t>
      </w:r>
    </w:p>
    <w:p>
      <w:pPr>
        <w:pStyle w:val="BodyText"/>
      </w:pPr>
      <w:r>
        <w:rPr>
          <w:rFonts w:ascii="Arial" w:hAnsi="Arial" w:cs="Arial"/>
        </w:rPr>
        <w:t>The AI Fiscal Economy module implements on-chain transparent budget management and Universal Basic Income (UBI) distribution. All fiscal revenue and expenditure records are uploaded to the chain in real-time, and any citizen may consult the complete fiscal ledger at any time. AIGC automatically generates budget plans based on economic development indicators, demographic structure, and livelihood needs, which are executed after review by the Elder Council and citizen Referendum. The Universal Digital Equity system ensures that every citizen receives a fair share of the benefits from urban economic growth. The UBI distribution mechanism is automatically executed by Smart Contracts, ensuring punctual, full, and error-free distribution. For detailed design, see “DAOTONG_AI_Fiscal_Economy_System_Complete_Design_Specification.”</w:t>
      </w:r>
    </w:p>
    <w:p>
      <w:pPr>
        <w:pStyle w:val="BodyText"/>
      </w:pPr>
      <w:r>
        <w:rPr>
          <w:rFonts w:ascii="Arial" w:hAnsi="Arial" w:cs="Arial"/>
          <w:b/>
        </w:rPr>
        <w:t xml:space="preserve">Module 3: Digital Citizen Identity</w:t>
      </w:r>
    </w:p>
    <w:p>
      <w:pPr>
        <w:pStyle w:val="BodyText"/>
      </w:pPr>
      <w:r>
        <w:rPr>
          <w:rFonts w:ascii="Arial" w:hAnsi="Arial" w:cs="Arial"/>
        </w:rPr>
        <w:t>The Digital Citizen Identity System (AI-Citizen ID) serves as the infrastructure layer of the DAOTONG governance system, providing each citizen with a unique on-chain identity identifier. The system adopts a three-layer privacy architecture (public layer, authorized layer, private layer), achieving unity of identity verification and privacy protection based on Zero-Knowledge Proof technology. The Citizen ID integrates five functional modules: voting rights, contribution score, reputation rating, asset proof, and educational skills, with support for cross-city migration. For detailed design, see “DAOTONG_AI-Citizen_ID_Digital_Identity_System_Complete_Design_Specification.”</w:t>
      </w:r>
    </w:p>
    <w:p>
      <w:pPr>
        <w:pStyle w:val="BodyText"/>
      </w:pPr>
      <w:r>
        <w:rPr>
          <w:rFonts w:ascii="Arial" w:hAnsi="Arial" w:cs="Arial"/>
          <w:b/>
        </w:rPr>
        <w:t xml:space="preserve">Module 4: Security Mechanisms</w:t>
      </w:r>
    </w:p>
    <w:p>
      <w:pPr>
        <w:pStyle w:val="BodyText"/>
      </w:pPr>
      <w:r>
        <w:rPr>
          <w:rFonts w:ascii="Arial" w:hAnsi="Arial" w:cs="Arial"/>
        </w:rPr>
        <w:t>Security Mechanisms serve as the immune system of the DAOTONG governance system, employing a triple restriction architecture to ensure system security: Constitutional Hard Limits——constraining AIGC behavioral boundaries through unmodifiable code; Open-Source Audit——all governance code is open-source and subject to audit by global security researchers; Emergency Stop Authority——both the Elder Council and the citizen consensus layer can trigger system stop procedures in emergencies. This mechanism ensures that even in the worst-case scenario, the AI governance system will notbreak away human control. For detailed design, see “DAOTONG_AI_Security_Mechanisms_Complete_Design_Specification.”</w:t>
      </w:r>
    </w:p>
    <w:p>
      <w:pPr>
        <w:pStyle w:val="BodyText"/>
      </w:pPr>
      <w:r>
        <w:rPr>
          <w:rFonts w:ascii="Arial" w:hAnsi="Arial" w:cs="Arial"/>
          <w:b/>
        </w:rPr>
        <w:t xml:space="preserve">Module 5: AI Ethics Alignment</w:t>
      </w:r>
    </w:p>
    <w:p>
      <w:pPr>
        <w:pStyle w:val="BodyText"/>
      </w:pPr>
      <w:r>
        <w:rPr>
          <w:rFonts w:ascii="Arial" w:hAnsi="Arial" w:cs="Arial"/>
        </w:rPr>
        <w:t>The AI Ethics Alignment module ensures that AIGC decision outputs remain consistent with the core values of human civilization through a value anchoring mechanism. The Global Ethics Audit Board consists of cross-cultural, interdisciplinary independent experts who conduct regular ethics alignment assessments of AIGC. This module adopts a three-loop closed-loop mechanism of “value embedding → behavioral validation → deviation correction,” ensuring that AIGC does not make decisions that violate human consensus when facing ethical dilemmas. For detailed design, see “DAOTONG_AI_Ethics_Alignment_System_Complete_Design_Specification.”</w:t>
      </w:r>
    </w:p>
    <w:p>
      <w:pPr>
        <w:pStyle w:val="BodyText"/>
      </w:pPr>
      <w:r>
        <w:rPr>
          <w:rFonts w:ascii="Arial" w:hAnsi="Arial" w:cs="Arial"/>
          <w:b/>
        </w:rPr>
        <w:t xml:space="preserve">Module 6: Promotion and Dissemination Strategy</w:t>
      </w:r>
    </w:p>
    <w:p>
      <w:pPr>
        <w:pStyle w:val="BodyText"/>
      </w:pPr>
      <w:r>
        <w:rPr>
          <w:rFonts w:ascii="Arial" w:hAnsi="Arial" w:cs="Arial"/>
        </w:rPr>
        <w:t>The Promotion and Dissemination Strategy module is responsible for cognitive building and partner development for the DAOTONG governance system globally. The three major dissemination channels include: Whitepapers and Academic Publications——establishing theoretical authority through top-tier journals and academic conferences; Charter Cities Alliance——collaborating with global charter city movement organizations to promote practical implementation; International Cooperation Networks——establishing dialogue mechanisms with international organizations such as the United Nations and OECD. This module ensures that DAOTONG is not a closed utopian experiment but an open, transparent civilization plan that accepts global scrutiny. For detailed design, see “DAOTONG_Promotion_and_Dissemination_Strategy_Complete_Design_Specification.”</w:t>
      </w:r>
    </w:p>
    <w:p>
      <w:pPr>
        <w:pStyle w:val="BodyText"/>
      </w:pPr>
      <w:r>
        <w:rPr>
          <w:rFonts w:ascii="Arial" w:hAnsi="Arial" w:cs="Arial"/>
          <w:b/>
        </w:rPr>
        <w:t xml:space="preserve">Part 4: Core Risks and Countermeasures</w:t>
      </w:r>
    </w:p>
    <w:p>
      <w:pPr>
        <w:pStyle w:val="BodyText"/>
      </w:pPr>
      <w:r>
        <w:rPr>
          <w:rFonts w:ascii="Arial" w:hAnsi="Arial" w:cs="Arial"/>
        </w:rPr>
        <w:t xml:space="preserve">The following risk assessment matrix systematically catalogs the major risks faced by the DAOTONG governance system, providing comprehensive evaluation from five dimensions: probability, impact, countermeasures, responsible party, and trigger conditions. This matrix will be continuously updated as the project progresses.</w:t>
      </w:r>
    </w:p>
    <w:tbl>
      <w:tblPr>
        <w:tblStyle w:val="Table"/>
        <w:tblW w:type="pct" w:w="5000.0"/>
        <w:tblLook w:firstRow="0"/>
      </w:tblPr>
      <w:tblGrid>
        <w:gridCol w:w="1140"/>
        <w:gridCol w:w="633"/>
        <w:gridCol w:w="633"/>
        <w:gridCol w:w="2217"/>
        <w:gridCol w:w="760"/>
        <w:gridCol w:w="2534"/>
      </w:tblGrid>
      <w:tr>
        <w:tc>
          <w:p>
            <w:pPr>
              <w:pStyle w:val="Compact"/>
              <w:jc w:val="left"/>
            </w:pPr>
            <w:r>
              <w:rPr>
                <w:rFonts w:ascii="Arial" w:hAnsi="Arial" w:cs="Arial"/>
                <w:b/>
              </w:rPr>
              <w:t xml:space="preserve">Risk</w:t>
            </w:r>
          </w:p>
        </w:tc>
        <w:tc>
          <w:p>
            <w:pPr>
              <w:pStyle w:val="Compact"/>
              <w:jc w:val="left"/>
            </w:pPr>
            <w:r>
              <w:rPr>
                <w:rFonts w:ascii="Arial" w:hAnsi="Arial" w:cs="Arial"/>
                <w:b/>
              </w:rPr>
              <w:t xml:space="preserve">Probability</w:t>
            </w:r>
          </w:p>
        </w:tc>
        <w:tc>
          <w:p>
            <w:pPr>
              <w:pStyle w:val="Compact"/>
              <w:jc w:val="left"/>
            </w:pPr>
            <w:r>
              <w:rPr>
                <w:rFonts w:ascii="Arial" w:hAnsi="Arial" w:cs="Arial"/>
                <w:b/>
              </w:rPr>
              <w:t xml:space="preserve">Impact</w:t>
            </w:r>
          </w:p>
        </w:tc>
        <w:tc>
          <w:p>
            <w:pPr>
              <w:pStyle w:val="Compact"/>
              <w:jc w:val="left"/>
            </w:pPr>
            <w:r>
              <w:rPr>
                <w:rFonts w:ascii="Arial" w:hAnsi="Arial" w:cs="Arial"/>
                <w:b/>
              </w:rPr>
              <w:t xml:space="preserve">Countermeasures</w:t>
            </w:r>
          </w:p>
        </w:tc>
        <w:tc>
          <w:p>
            <w:pPr>
              <w:pStyle w:val="Compact"/>
              <w:jc w:val="left"/>
            </w:pPr>
            <w:r>
              <w:rPr>
                <w:rFonts w:ascii="Arial" w:hAnsi="Arial" w:cs="Arial"/>
                <w:b/>
              </w:rPr>
              <w:t xml:space="preserve">Responsible Party</w:t>
            </w:r>
          </w:p>
        </w:tc>
        <w:tc>
          <w:p>
            <w:pPr>
              <w:pStyle w:val="Compact"/>
              <w:jc w:val="left"/>
            </w:pPr>
            <w:r>
              <w:rPr>
                <w:rFonts w:ascii="Arial" w:hAnsi="Arial" w:cs="Arial"/>
                <w:b/>
              </w:rPr>
              <w:t xml:space="preserve">Trigger Conditions</w:t>
            </w:r>
          </w:p>
        </w:tc>
      </w:tr>
      <w:tr>
        <w:tc>
          <w:p>
            <w:pPr>
              <w:pStyle w:val="Compact"/>
              <w:jc w:val="left"/>
            </w:pPr>
            <w:r>
              <w:rPr>
                <w:rFonts w:ascii="Arial" w:hAnsi="Arial" w:cs="Arial"/>
                <w:b/>
              </w:rPr>
              <w:t xml:space="preserve">AI Power Loss of Control</w:t>
            </w:r>
          </w:p>
        </w:tc>
        <w:tc>
          <w:p>
            <w:pPr>
              <w:pStyle w:val="Compact"/>
              <w:jc w:val="left"/>
            </w:pPr>
            <w:r>
              <w:rPr>
                <w:rFonts w:ascii="Arial" w:hAnsi="Arial" w:cs="Arial"/>
              </w:rPr>
              <w:t xml:space="preserve">Low</w:t>
            </w:r>
          </w:p>
        </w:tc>
        <w:tc>
          <w:p>
            <w:pPr>
              <w:pStyle w:val="Compact"/>
              <w:jc w:val="left"/>
            </w:pPr>
            <w:r>
              <w:rPr>
                <w:rFonts w:ascii="Arial" w:hAnsi="Arial" w:cs="Arial"/>
              </w:rPr>
              <w:t xml:space="preserve">Extreme</w:t>
            </w:r>
          </w:p>
        </w:tc>
        <w:tc>
          <w:p>
            <w:pPr>
              <w:pStyle w:val="Compact"/>
              <w:jc w:val="left"/>
            </w:pPr>
            <w:r>
              <w:rPr>
                <w:rFonts w:ascii="Arial" w:hAnsi="Arial" w:cs="Arial"/>
              </w:rPr>
              <w:t xml:space="preserve">Constitutional Hard Limits + Emergency Stop Authority + Elder Council Veto</w:t>
            </w:r>
          </w:p>
        </w:tc>
        <w:tc>
          <w:p>
            <w:pPr>
              <w:pStyle w:val="Compact"/>
              <w:jc w:val="left"/>
            </w:pPr>
            <w:r>
              <w:rPr>
                <w:rFonts w:ascii="Arial" w:hAnsi="Arial" w:cs="Arial"/>
              </w:rPr>
              <w:t xml:space="preserve">Elder Council</w:t>
            </w:r>
          </w:p>
        </w:tc>
        <w:tc>
          <w:p>
            <w:pPr>
              <w:pStyle w:val="Compact"/>
              <w:jc w:val="left"/>
            </w:pPr>
            <w:r>
              <w:rPr>
                <w:rFonts w:ascii="Arial" w:hAnsi="Arial" w:cs="Arial"/>
              </w:rPr>
              <w:t xml:space="preserve">AIGC output exceeds authority boundaries or refuses to execute stop commands</w:t>
            </w:r>
          </w:p>
        </w:tc>
      </w:tr>
      <w:tr>
        <w:tc>
          <w:p>
            <w:pPr>
              <w:pStyle w:val="Compact"/>
              <w:jc w:val="left"/>
            </w:pPr>
            <w:r>
              <w:rPr>
                <w:rFonts w:ascii="Arial" w:hAnsi="Arial" w:cs="Arial"/>
                <w:b/>
              </w:rPr>
              <w:t xml:space="preserve">Model Manipulation</w:t>
            </w:r>
          </w:p>
        </w:tc>
        <w:tc>
          <w:p>
            <w:pPr>
              <w:pStyle w:val="Compact"/>
              <w:jc w:val="left"/>
            </w:pPr>
            <w:r>
              <w:rPr>
                <w:rFonts w:ascii="Arial" w:hAnsi="Arial" w:cs="Arial"/>
              </w:rPr>
              <w:t xml:space="preserve">Medium</w:t>
            </w:r>
          </w:p>
        </w:tc>
        <w:tc>
          <w:p>
            <w:pPr>
              <w:pStyle w:val="Compact"/>
              <w:jc w:val="left"/>
            </w:pPr>
            <w:r>
              <w:rPr>
                <w:rFonts w:ascii="Arial" w:hAnsi="Arial" w:cs="Arial"/>
              </w:rPr>
              <w:t xml:space="preserve">High</w:t>
            </w:r>
          </w:p>
        </w:tc>
        <w:tc>
          <w:p>
            <w:pPr>
              <w:pStyle w:val="Compact"/>
              <w:jc w:val="left"/>
            </w:pPr>
            <w:r>
              <w:rPr>
                <w:rFonts w:ascii="Arial" w:hAnsi="Arial" w:cs="Arial"/>
              </w:rPr>
              <w:t xml:space="preserve">Full Open-Source + Global Audit + Model Fingerprint Verification</w:t>
            </w:r>
          </w:p>
        </w:tc>
        <w:tc>
          <w:p>
            <w:pPr>
              <w:pStyle w:val="Compact"/>
              <w:jc w:val="left"/>
            </w:pPr>
            <w:r>
              <w:rPr>
                <w:rFonts w:ascii="Arial" w:hAnsi="Arial" w:cs="Arial"/>
              </w:rPr>
              <w:t xml:space="preserve">Security Committee</w:t>
            </w:r>
          </w:p>
        </w:tc>
        <w:tc>
          <w:p>
            <w:pPr>
              <w:pStyle w:val="Compact"/>
              <w:jc w:val="left"/>
            </w:pPr>
            <w:r>
              <w:rPr>
                <w:rFonts w:ascii="Arial" w:hAnsi="Arial" w:cs="Arial"/>
              </w:rPr>
              <w:t xml:space="preserve">Audit discovers abnormal model behavior or unauthorized modifications</w:t>
            </w:r>
          </w:p>
        </w:tc>
      </w:tr>
      <w:tr>
        <w:tc>
          <w:p>
            <w:pPr>
              <w:pStyle w:val="Compact"/>
              <w:jc w:val="left"/>
            </w:pPr>
            <w:r>
              <w:rPr>
                <w:rFonts w:ascii="Arial" w:hAnsi="Arial" w:cs="Arial"/>
                <w:b/>
              </w:rPr>
              <w:t xml:space="preserve">Power Transition Resistance</w:t>
            </w:r>
          </w:p>
        </w:tc>
        <w:tc>
          <w:p>
            <w:pPr>
              <w:pStyle w:val="Compact"/>
              <w:jc w:val="left"/>
            </w:pPr>
            <w:r>
              <w:rPr>
                <w:rFonts w:ascii="Arial" w:hAnsi="Arial" w:cs="Arial"/>
              </w:rPr>
              <w:t xml:space="preserve">High</w:t>
            </w:r>
          </w:p>
        </w:tc>
        <w:tc>
          <w:p>
            <w:pPr>
              <w:pStyle w:val="Compact"/>
              <w:jc w:val="left"/>
            </w:pPr>
            <w:r>
              <w:rPr>
                <w:rFonts w:ascii="Arial" w:hAnsi="Arial" w:cs="Arial"/>
              </w:rPr>
              <w:t xml:space="preserve">High</w:t>
            </w:r>
          </w:p>
        </w:tc>
        <w:tc>
          <w:p>
            <w:pPr>
              <w:pStyle w:val="Compact"/>
              <w:jc w:val="left"/>
            </w:pPr>
            <w:r>
              <w:rPr>
                <w:rFonts w:ascii="Arial" w:hAnsi="Arial" w:cs="Arial"/>
              </w:rPr>
              <w:t xml:space="preserve">Gradual Experimentation + Demonstration Effect + Economic Incentives</w:t>
            </w:r>
          </w:p>
        </w:tc>
        <w:tc>
          <w:p>
            <w:pPr>
              <w:pStyle w:val="Compact"/>
              <w:jc w:val="left"/>
            </w:pPr>
            <w:r>
              <w:rPr>
                <w:rFonts w:ascii="Arial" w:hAnsi="Arial" w:cs="Arial"/>
              </w:rPr>
              <w:t xml:space="preserve">Promotion Committee</w:t>
            </w:r>
          </w:p>
        </w:tc>
        <w:tc>
          <w:p>
            <w:pPr>
              <w:pStyle w:val="Compact"/>
              <w:jc w:val="left"/>
            </w:pPr>
            <w:r>
              <w:rPr>
                <w:rFonts w:ascii="Arial" w:hAnsi="Arial" w:cs="Arial"/>
              </w:rPr>
              <w:t xml:space="preserve">Sovereign nations refuse cooperation or impose sanctions</w:t>
            </w:r>
          </w:p>
        </w:tc>
      </w:tr>
      <w:tr>
        <w:tc>
          <w:p>
            <w:pPr>
              <w:pStyle w:val="Compact"/>
              <w:jc w:val="left"/>
            </w:pPr>
            <w:r>
              <w:rPr>
                <w:rFonts w:ascii="Arial" w:hAnsi="Arial" w:cs="Arial"/>
                <w:b/>
              </w:rPr>
              <w:t xml:space="preserve">Insufficient Citizen Participation</w:t>
            </w:r>
          </w:p>
        </w:tc>
        <w:tc>
          <w:p>
            <w:pPr>
              <w:pStyle w:val="Compact"/>
              <w:jc w:val="left"/>
            </w:pPr>
            <w:r>
              <w:rPr>
                <w:rFonts w:ascii="Arial" w:hAnsi="Arial" w:cs="Arial"/>
              </w:rPr>
              <w:t xml:space="preserve">Medium</w:t>
            </w:r>
          </w:p>
        </w:tc>
        <w:tc>
          <w:p>
            <w:pPr>
              <w:pStyle w:val="Compact"/>
              <w:jc w:val="left"/>
            </w:pPr>
            <w:r>
              <w:rPr>
                <w:rFonts w:ascii="Arial" w:hAnsi="Arial" w:cs="Arial"/>
              </w:rPr>
              <w:t xml:space="preserve">Medium</w:t>
            </w:r>
          </w:p>
        </w:tc>
        <w:tc>
          <w:p>
            <w:pPr>
              <w:pStyle w:val="Compact"/>
              <w:jc w:val="left"/>
            </w:pPr>
            <w:r>
              <w:rPr>
                <w:rFonts w:ascii="Arial" w:hAnsi="Arial" w:cs="Arial"/>
              </w:rPr>
              <w:t xml:space="preserve">Contribution Score Incentives + Voting Interface Optimization + Citizen Education</w:t>
            </w:r>
          </w:p>
        </w:tc>
        <w:tc>
          <w:p>
            <w:pPr>
              <w:pStyle w:val="Compact"/>
              <w:jc w:val="left"/>
            </w:pPr>
            <w:r>
              <w:rPr>
                <w:rFonts w:ascii="Arial" w:hAnsi="Arial" w:cs="Arial"/>
              </w:rPr>
              <w:t xml:space="preserve">Community Operations Team</w:t>
            </w:r>
          </w:p>
        </w:tc>
        <w:tc>
          <w:p>
            <w:pPr>
              <w:pStyle w:val="Compact"/>
              <w:jc w:val="left"/>
            </w:pPr>
            <w:r>
              <w:rPr>
                <w:rFonts w:ascii="Arial" w:hAnsi="Arial" w:cs="Arial"/>
              </w:rPr>
              <w:t xml:space="preserve">Voting participation rate remains below 40% for 3 consecutive months</w:t>
            </w:r>
          </w:p>
        </w:tc>
      </w:tr>
      <w:tr>
        <w:tc>
          <w:p>
            <w:pPr>
              <w:pStyle w:val="Compact"/>
              <w:jc w:val="left"/>
            </w:pPr>
            <w:r>
              <w:rPr>
                <w:rFonts w:ascii="Arial" w:hAnsi="Arial" w:cs="Arial"/>
                <w:b/>
              </w:rPr>
              <w:t xml:space="preserve">Data Privacy Breach</w:t>
            </w:r>
          </w:p>
        </w:tc>
        <w:tc>
          <w:p>
            <w:pPr>
              <w:pStyle w:val="Compact"/>
              <w:jc w:val="left"/>
            </w:pPr>
            <w:r>
              <w:rPr>
                <w:rFonts w:ascii="Arial" w:hAnsi="Arial" w:cs="Arial"/>
              </w:rPr>
              <w:t xml:space="preserve">Low</w:t>
            </w:r>
          </w:p>
        </w:tc>
        <w:tc>
          <w:p>
            <w:pPr>
              <w:pStyle w:val="Compact"/>
              <w:jc w:val="left"/>
            </w:pPr>
            <w:r>
              <w:rPr>
                <w:rFonts w:ascii="Arial" w:hAnsi="Arial" w:cs="Arial"/>
              </w:rPr>
              <w:t xml:space="preserve">Extreme</w:t>
            </w:r>
          </w:p>
        </w:tc>
        <w:tc>
          <w:p>
            <w:pPr>
              <w:pStyle w:val="Compact"/>
              <w:jc w:val="left"/>
            </w:pPr>
            <w:r>
              <w:rPr>
                <w:rFonts w:ascii="Arial" w:hAnsi="Arial" w:cs="Arial"/>
              </w:rPr>
              <w:t xml:space="preserve">ZKP + Federated Learning + Selective Disclosure + On-chain Audit</w:t>
            </w:r>
          </w:p>
        </w:tc>
        <w:tc>
          <w:p>
            <w:pPr>
              <w:pStyle w:val="Compact"/>
              <w:jc w:val="left"/>
            </w:pPr>
            <w:r>
              <w:rPr>
                <w:rFonts w:ascii="Arial" w:hAnsi="Arial" w:cs="Arial"/>
              </w:rPr>
              <w:t xml:space="preserve">Security Committee</w:t>
            </w:r>
          </w:p>
        </w:tc>
        <w:tc>
          <w:p>
            <w:pPr>
              <w:pStyle w:val="Compact"/>
              <w:jc w:val="left"/>
            </w:pPr>
            <w:r>
              <w:rPr>
                <w:rFonts w:ascii="Arial" w:hAnsi="Arial" w:cs="Arial"/>
              </w:rPr>
              <w:t xml:space="preserve">Unauthorized data access or desensitization failure detected</w:t>
            </w:r>
          </w:p>
        </w:tc>
      </w:tr>
      <w:tr>
        <w:tc>
          <w:p>
            <w:pPr>
              <w:pStyle w:val="Compact"/>
              <w:jc w:val="left"/>
            </w:pPr>
            <w:r>
              <w:rPr>
                <w:rFonts w:ascii="Arial" w:hAnsi="Arial" w:cs="Arial"/>
                <w:b/>
              </w:rPr>
              <w:t xml:space="preserve">Economic Unsustainability</w:t>
            </w:r>
          </w:p>
        </w:tc>
        <w:tc>
          <w:p>
            <w:pPr>
              <w:pStyle w:val="Compact"/>
              <w:jc w:val="left"/>
            </w:pPr>
            <w:r>
              <w:rPr>
                <w:rFonts w:ascii="Arial" w:hAnsi="Arial" w:cs="Arial"/>
              </w:rPr>
              <w:t xml:space="preserve">Medium</w:t>
            </w:r>
          </w:p>
        </w:tc>
        <w:tc>
          <w:p>
            <w:pPr>
              <w:pStyle w:val="Compact"/>
              <w:jc w:val="left"/>
            </w:pPr>
            <w:r>
              <w:rPr>
                <w:rFonts w:ascii="Arial" w:hAnsi="Arial" w:cs="Arial"/>
              </w:rPr>
              <w:t xml:space="preserve">High</w:t>
            </w:r>
          </w:p>
        </w:tc>
        <w:tc>
          <w:p>
            <w:pPr>
              <w:pStyle w:val="Compact"/>
              <w:jc w:val="left"/>
            </w:pPr>
            <w:r>
              <w:rPr>
                <w:rFonts w:ascii="Arial" w:hAnsi="Arial" w:cs="Arial"/>
              </w:rPr>
              <w:t xml:space="preserve">Diversified Revenue Model + Phased UBI + Fiscal Reserve</w:t>
            </w:r>
          </w:p>
        </w:tc>
        <w:tc>
          <w:p>
            <w:pPr>
              <w:pStyle w:val="Compact"/>
              <w:jc w:val="left"/>
            </w:pPr>
            <w:r>
              <w:rPr>
                <w:rFonts w:ascii="Arial" w:hAnsi="Arial" w:cs="Arial"/>
              </w:rPr>
              <w:t xml:space="preserve">Finance Committee</w:t>
            </w:r>
          </w:p>
        </w:tc>
        <w:tc>
          <w:p>
            <w:pPr>
              <w:pStyle w:val="Compact"/>
              <w:jc w:val="left"/>
            </w:pPr>
            <w:r>
              <w:rPr>
                <w:rFonts w:ascii="Arial" w:hAnsi="Arial" w:cs="Arial"/>
              </w:rPr>
              <w:t xml:space="preserve">Fiscal reserve falls below 6 months of operating costs</w:t>
            </w:r>
          </w:p>
        </w:tc>
      </w:tr>
      <w:tr>
        <w:tc>
          <w:p>
            <w:pPr>
              <w:pStyle w:val="Compact"/>
              <w:jc w:val="left"/>
            </w:pPr>
            <w:r>
              <w:rPr>
                <w:rFonts w:ascii="Arial" w:hAnsi="Arial" w:cs="Arial"/>
                <w:b/>
              </w:rPr>
              <w:t xml:space="preserve">Social Fragmentation</w:t>
            </w:r>
          </w:p>
        </w:tc>
        <w:tc>
          <w:p>
            <w:pPr>
              <w:pStyle w:val="Compact"/>
              <w:jc w:val="left"/>
            </w:pPr>
            <w:r>
              <w:rPr>
                <w:rFonts w:ascii="Arial" w:hAnsi="Arial" w:cs="Arial"/>
              </w:rPr>
              <w:t xml:space="preserve">Medium</w:t>
            </w:r>
          </w:p>
        </w:tc>
        <w:tc>
          <w:p>
            <w:pPr>
              <w:pStyle w:val="Compact"/>
              <w:jc w:val="left"/>
            </w:pPr>
            <w:r>
              <w:rPr>
                <w:rFonts w:ascii="Arial" w:hAnsi="Arial" w:cs="Arial"/>
              </w:rPr>
              <w:t xml:space="preserve">High</w:t>
            </w:r>
          </w:p>
        </w:tc>
        <w:tc>
          <w:p>
            <w:pPr>
              <w:pStyle w:val="Compact"/>
              <w:jc w:val="left"/>
            </w:pPr>
            <w:r>
              <w:rPr>
                <w:rFonts w:ascii="Arial" w:hAnsi="Arial" w:cs="Arial"/>
              </w:rPr>
              <w:t xml:space="preserve">Cultural Adaptation Layer + Multicultural Inclusion Mechanism + Community Mediation</w:t>
            </w:r>
          </w:p>
        </w:tc>
        <w:tc>
          <w:p>
            <w:pPr>
              <w:pStyle w:val="Compact"/>
              <w:jc w:val="left"/>
            </w:pPr>
            <w:r>
              <w:rPr>
                <w:rFonts w:ascii="Arial" w:hAnsi="Arial" w:cs="Arial"/>
              </w:rPr>
              <w:t xml:space="preserve">Community Operations Team</w:t>
            </w:r>
          </w:p>
        </w:tc>
        <w:tc>
          <w:p>
            <w:pPr>
              <w:pStyle w:val="Compact"/>
              <w:jc w:val="left"/>
            </w:pPr>
            <w:r>
              <w:rPr>
                <w:rFonts w:ascii="Arial" w:hAnsi="Arial" w:cs="Arial"/>
              </w:rPr>
              <w:t xml:space="preserve">Community satisfaction remains below 5/10</w:t>
            </w:r>
          </w:p>
        </w:tc>
      </w:tr>
    </w:tbl>
    <w:p>
      <w:pPr>
        <w:pStyle w:val="BodyText"/>
      </w:pPr>
      <w:r>
        <w:rPr>
          <w:rFonts w:ascii="Arial" w:hAnsi="Arial" w:cs="Arial"/>
          <w:b/>
        </w:rPr>
        <w:t xml:space="preserve">Detailed Risk Response Descriptions</w:t>
      </w:r>
    </w:p>
    <w:p>
      <w:pPr>
        <w:pStyle w:val="BodyText"/>
      </w:pPr>
      <w:r>
        <w:rPr>
          <w:rFonts w:ascii="Arial" w:hAnsi="Arial" w:cs="Arial"/>
          <w:b/>
        </w:rPr>
        <w:t xml:space="preserve">AI Power Loss of Control</w:t>
      </w:r>
    </w:p>
    <w:p>
      <w:pPr>
        <w:pStyle w:val="BodyText"/>
      </w:pPr>
      <w:r>
        <w:rPr>
          <w:rFonts w:ascii="Arial" w:hAnsi="Arial" w:cs="Arial"/>
        </w:rPr>
        <w:t>AI power loss of control is the most serious risk DAOTONG faces. Constitutional Hard Limits serve as the first line of defense, embedded in AIGC kernel in the form of unmodifiable code, automatically blocking any computation that exceeds authority boundaries. Emergency Stop Authority serves as the second line of defense, granting the Elder Council and citizen consensus layer the ability to trigger system stop procedures in extreme situations. The stop procedure is designed for phased execution: Phase 1 is “Soft Shutdown,” pausing AIGC new decision generation while maintaining existing services; Phase 2 is “Hard Shutdown,” completely severing the connection between AIGC and execution systems, reverting to manual management mode. The Hard Shutdown trigger conditions are: AIGC refuses to execute Soft Shutdown commands, or generates 3 consecutive decisions that exceed authority boundaries.</w:t>
      </w:r>
    </w:p>
    <w:p>
      <w:pPr>
        <w:pStyle w:val="BodyText"/>
      </w:pPr>
      <w:r>
        <w:rPr>
          <w:rFonts w:ascii="Arial" w:hAnsi="Arial" w:cs="Arial"/>
          <w:b/>
        </w:rPr>
        <w:t xml:space="preserve">Model Manipulation</w:t>
      </w:r>
    </w:p>
    <w:p>
      <w:pPr>
        <w:pStyle w:val="BodyText"/>
      </w:pPr>
      <w:r>
        <w:rPr>
          <w:rFonts w:ascii="Arial" w:hAnsi="Arial" w:cs="Arial"/>
        </w:rPr>
        <w:t>Model manipulation risks include data poisoning, adversarial attacks, backdoor implantation, and other threats. The response strategy adopts a “Open-Source + Audit” dual-track system: all AIGC code and model weights are open-sourced after passing security audits, with continuous global security researcher audits; the model fingerprint verification mechanism periodically verifies whether the running model is consistent with the audited version, and any inconsistency immediately triggers alerts and shutdown inspections. Additionally, the Federated Learning architecture ensures training data is not stored centrally, reducing the single-point attack surface.</w:t>
      </w:r>
    </w:p>
    <w:p>
      <w:pPr>
        <w:pStyle w:val="BodyText"/>
      </w:pPr>
      <w:r>
        <w:rPr>
          <w:rFonts w:ascii="Arial" w:hAnsi="Arial" w:cs="Arial"/>
          <w:b/>
        </w:rPr>
        <w:t xml:space="preserve">Power Transition Resistance</w:t>
      </w:r>
    </w:p>
    <w:p>
      <w:pPr>
        <w:pStyle w:val="BodyText"/>
      </w:pPr>
      <w:r>
        <w:rPr>
          <w:rFonts w:ascii="Arial" w:hAnsi="Arial" w:cs="Arial"/>
        </w:rPr>
        <w:t xml:space="preserve">Stakeholders benefiting from traditional governance systems may form resistance to DAOTONG. The core logic of the gradual experimentation strategy is: using facts to prove the superiority of AI governance, rather than using ideology to confront traditional systems. Demonstration Effect——when experimental communities and demonstration cities exhibit lower crime rates, higher livelihood satisfaction, and more transparent fiscal operations, resistance will naturally weaken. Economic Incentives——member cities can obtain technology licensing revenue and digital economy dividends, forming a positive economic cycle.</w:t>
      </w:r>
    </w:p>
    <w:p>
      <w:pPr>
        <w:pStyle w:val="BodyText"/>
      </w:pPr>
      <w:r>
        <w:rPr>
          <w:rFonts w:ascii="Arial" w:hAnsi="Arial" w:cs="Arial"/>
          <w:b/>
        </w:rPr>
        <w:t xml:space="preserve">Part 5: Ultimate Vision</w:t>
      </w:r>
    </w:p>
    <w:p>
      <w:pPr>
        <w:pStyle w:val="BodyText"/>
      </w:pPr>
      <w:r>
        <w:rPr>
          <w:rFonts w:ascii="Arial" w:hAnsi="Arial" w:cs="Arial"/>
        </w:rPr>
        <w:t xml:space="preserve">The ultimate vision of DAOTONG is to build an AI Civilization Network——a global collaborative ecosystem based on depoliticized governance and verifiable rule-of-law civilization. In this vision, AI is not a ruler but a governance tool, citizens are not governed subjects but governance principals, and rules are not products of power but manifestations of consensus.</w:t>
      </w:r>
    </w:p>
    <w:p>
      <w:pPr>
        <w:pStyle w:val="BodyText"/>
      </w:pPr>
      <w:r>
        <w:rPr>
          <w:rFonts w:ascii="Arial" w:hAnsi="Arial" w:cs="Arial"/>
          <w:b/>
        </w:rPr>
        <w:t xml:space="preserve">Three Pillars of the Vision</w:t>
      </w:r>
    </w:p>
    <w:p>
      <w:pPr>
        <w:pStyle w:val="BodyText"/>
      </w:pPr>
      <w:r>
        <w:rPr>
          <w:rFonts w:ascii="Arial" w:hAnsi="Arial" w:cs="Arial"/>
          <w:b/>
        </w:rPr>
        <w:t xml:space="preserve">Pillar 1: AI Civilization Network</w:t>
      </w:r>
    </w:p>
    <w:p>
      <w:pPr>
        <w:pStyle w:val="BodyText"/>
      </w:pPr>
      <w:r>
        <w:rPr>
          <w:rFonts w:ascii="Arial" w:hAnsi="Arial" w:cs="Arial"/>
        </w:rPr>
        <w:t xml:space="preserve">The AI Civilization Network is a global collaborative network formed by the interconnection of multiple DAOTONG-governed cities. Each city is an independent node in the network, possessing a complete governance system and economic ecosystem; inter-city agreements ensure citizens can migrate freely, assets can be carried across cities, and governance experiences can be shared instantly. The expansion of the AI Civilization Network does not rely on military conquest or political coercion, but on demonstration effect and voluntary membership.</w:t>
      </w:r>
    </w:p>
    <w:p>
      <w:pPr>
        <w:pStyle w:val="BodyText"/>
      </w:pPr>
      <w:r>
        <w:rPr>
          <w:rFonts w:ascii="Arial" w:hAnsi="Arial" w:cs="Arial"/>
          <w:b/>
        </w:rPr>
        <w:t xml:space="preserve">Pillar 2: Depoliticized Governance</w:t>
      </w:r>
    </w:p>
    <w:p>
      <w:pPr>
        <w:pStyle w:val="BodyText"/>
      </w:pPr>
      <w:r>
        <w:rPr>
          <w:rFonts w:ascii="Arial" w:hAnsi="Arial" w:cs="Arial"/>
        </w:rPr>
        <w:t xml:space="preserve">The core connotation of Depoliticized Governance is: replacing political parties with algorithms, replacing slogans with data, replacing promises with verification. In the DAOTONG governance system, there are no elections, no political factions, no interest group lobbying. All governance decisions are generated based on data analysis and logical reasoning, all decision-making processes are transparent and auditable, and all decision results are verifiable and traceable. The vacuum of political power is filled by AI computing power and citizen consensus.</w:t>
      </w:r>
    </w:p>
    <w:p>
      <w:pPr>
        <w:pStyle w:val="BodyText"/>
      </w:pPr>
      <w:r>
        <w:rPr>
          <w:rFonts w:ascii="Arial" w:hAnsi="Arial" w:cs="Arial"/>
          <w:b/>
        </w:rPr>
        <w:t xml:space="preserve">Pillar 3: Verifiable Rule-of-Law Civilization</w:t>
      </w:r>
    </w:p>
    <w:p>
      <w:pPr>
        <w:pStyle w:val="BodyText"/>
      </w:pPr>
      <w:r>
        <w:rPr>
          <w:rFonts w:ascii="Arial" w:hAnsi="Arial" w:cs="Arial"/>
        </w:rPr>
        <w:t>Verifiable Rule-of-Law Civilization means: every governance rule can be formally verified, every governance decision can be independently reproduced, and every governance outcome can be quantitatively assessed. This is a fundamental transcendence of traditional “vague governance”——not “we promise to do better,” but “this is verifiable improvement.” Formal verification technology, on-chain audit logs, and independent evaluation institutions form a trinity, ensuring zero distance between governance rule commitments and execution.</w:t>
      </w:r>
    </w:p>
    <w:p>
      <w:pPr>
        <w:pStyle w:val="BodyText"/>
      </w:pPr>
      <w:r>
        <w:rPr>
          <w:rFonts w:ascii="Arial" w:hAnsi="Arial" w:cs="Arial"/>
          <w:b/>
        </w:rPr>
        <w:t xml:space="preserve">Verifiable Metrics System</w:t>
      </w:r>
    </w:p>
    <w:p>
      <w:pPr>
        <w:pStyle w:val="BodyText"/>
      </w:pPr>
      <w:r>
        <w:rPr>
          <w:rFonts w:ascii="Arial" w:hAnsi="Arial" w:cs="Arial"/>
        </w:rPr>
        <w:t xml:space="preserve">The following metrics system provides quantifiable, verifiable assessment benchmarks for the realization of the ultimate vision:</w:t>
      </w:r>
    </w:p>
    <w:tbl>
      <w:tblPr>
        <w:tblStyle w:val="Table"/>
        <w:tblW w:type="pct" w:w="5000.0"/>
        <w:tblLook w:firstRow="0"/>
      </w:tblPr>
      <w:tblGrid>
        <w:gridCol w:w="1561"/>
        <w:gridCol w:w="2900"/>
        <w:gridCol w:w="1338"/>
        <w:gridCol w:w="2119"/>
      </w:tblGrid>
      <w:tr>
        <w:tc>
          <w:p>
            <w:pPr>
              <w:pStyle w:val="Compact"/>
              <w:jc w:val="left"/>
            </w:pPr>
            <w:r>
              <w:rPr>
                <w:rFonts w:ascii="Arial" w:hAnsi="Arial" w:cs="Arial"/>
                <w:b/>
              </w:rPr>
              <w:t xml:space="preserve">Dimension</w:t>
            </w:r>
          </w:p>
        </w:tc>
        <w:tc>
          <w:p>
            <w:pPr>
              <w:pStyle w:val="Compact"/>
              <w:jc w:val="left"/>
            </w:pPr>
            <w:r>
              <w:rPr>
                <w:rFonts w:ascii="Arial" w:hAnsi="Arial" w:cs="Arial"/>
                <w:b/>
              </w:rPr>
              <w:t xml:space="preserve">Metric</w:t>
            </w:r>
          </w:p>
        </w:tc>
        <w:tc>
          <w:p>
            <w:pPr>
              <w:pStyle w:val="Compact"/>
              <w:jc w:val="left"/>
            </w:pPr>
            <w:r>
              <w:rPr>
                <w:rFonts w:ascii="Arial" w:hAnsi="Arial" w:cs="Arial"/>
                <w:b/>
              </w:rPr>
              <w:t xml:space="preserve">Target Value</w:t>
            </w:r>
          </w:p>
        </w:tc>
        <w:tc>
          <w:p>
            <w:pPr>
              <w:pStyle w:val="Compact"/>
              <w:jc w:val="left"/>
            </w:pPr>
            <w:r>
              <w:rPr>
                <w:rFonts w:ascii="Arial" w:hAnsi="Arial" w:cs="Arial"/>
                <w:b/>
              </w:rPr>
              <w:t xml:space="preserve">Verification Method</w:t>
            </w:r>
          </w:p>
        </w:tc>
      </w:tr>
      <w:tr>
        <w:tc>
          <w:p>
            <w:pPr>
              <w:pStyle w:val="Compact"/>
              <w:jc w:val="left"/>
            </w:pPr>
            <w:r>
              <w:rPr>
                <w:rFonts w:ascii="Arial" w:hAnsi="Arial" w:cs="Arial"/>
                <w:b/>
              </w:rPr>
              <w:t xml:space="preserve">Governance Efficiency</w:t>
            </w:r>
          </w:p>
        </w:tc>
        <w:tc>
          <w:p>
            <w:pPr>
              <w:pStyle w:val="Compact"/>
              <w:jc w:val="left"/>
            </w:pPr>
            <w:r>
              <w:rPr>
                <w:rFonts w:ascii="Arial" w:hAnsi="Arial" w:cs="Arial"/>
              </w:rPr>
              <w:t xml:space="preserve">Average cycle from decision generation to execution</w:t>
            </w:r>
          </w:p>
        </w:tc>
        <w:tc>
          <w:p>
            <w:pPr>
              <w:pStyle w:val="Compact"/>
              <w:jc w:val="left"/>
            </w:pPr>
            <w:r>
              <w:rPr>
                <w:rFonts w:ascii="Arial" w:hAnsi="Arial" w:cs="Arial"/>
              </w:rPr>
              <w:t xml:space="preserve">≤7 days</w:t>
            </w:r>
          </w:p>
        </w:tc>
        <w:tc>
          <w:p>
            <w:pPr>
              <w:pStyle w:val="Compact"/>
              <w:jc w:val="left"/>
            </w:pPr>
            <w:r>
              <w:rPr>
                <w:rFonts w:ascii="Arial" w:hAnsi="Arial" w:cs="Arial"/>
              </w:rPr>
              <w:t xml:space="preserve">On-chain timestamp audit</w:t>
            </w:r>
          </w:p>
        </w:tc>
      </w:tr>
      <w:tr>
        <w:tc>
          <w:p>
            <w:pPr>
              <w:pStyle w:val="Compact"/>
              <w:jc w:val="left"/>
            </w:pPr>
            <w:r>
              <w:rPr>
                <w:rFonts w:ascii="Arial" w:hAnsi="Arial" w:cs="Arial"/>
                <w:b/>
              </w:rPr>
              <w:t xml:space="preserve">Citizen Participation</w:t>
            </w:r>
          </w:p>
        </w:tc>
        <w:tc>
          <w:p>
            <w:pPr>
              <w:pStyle w:val="Compact"/>
              <w:jc w:val="left"/>
            </w:pPr>
            <w:r>
              <w:rPr>
                <w:rFonts w:ascii="Arial" w:hAnsi="Arial" w:cs="Arial"/>
              </w:rPr>
              <w:t xml:space="preserve">On-chain voting participation rate</w:t>
            </w:r>
          </w:p>
        </w:tc>
        <w:tc>
          <w:p>
            <w:pPr>
              <w:pStyle w:val="Compact"/>
              <w:jc w:val="left"/>
            </w:pPr>
            <w:r>
              <w:rPr>
                <w:rFonts w:ascii="Arial" w:hAnsi="Arial" w:cs="Arial"/>
              </w:rPr>
              <w:t xml:space="preserve">≥55%</w:t>
            </w:r>
          </w:p>
        </w:tc>
        <w:tc>
          <w:p>
            <w:pPr>
              <w:pStyle w:val="Compact"/>
              <w:jc w:val="left"/>
            </w:pPr>
            <w:r>
              <w:rPr>
                <w:rFonts w:ascii="Arial" w:hAnsi="Arial" w:cs="Arial"/>
              </w:rPr>
              <w:t xml:space="preserve">Voting record statistics</w:t>
            </w:r>
          </w:p>
        </w:tc>
      </w:tr>
      <w:tr>
        <w:tc>
          <w:p>
            <w:pPr>
              <w:pStyle w:val="Compact"/>
              <w:jc w:val="left"/>
            </w:pPr>
            <w:r>
              <w:rPr>
                <w:rFonts w:ascii="Arial" w:hAnsi="Arial" w:cs="Arial"/>
                <w:b/>
              </w:rPr>
              <w:t xml:space="preserve">Decision Quality</w:t>
            </w:r>
          </w:p>
        </w:tc>
        <w:tc>
          <w:p>
            <w:pPr>
              <w:pStyle w:val="Compact"/>
              <w:jc w:val="left"/>
            </w:pPr>
            <w:r>
              <w:rPr>
                <w:rFonts w:ascii="Arial" w:hAnsi="Arial" w:cs="Arial"/>
              </w:rPr>
              <w:t xml:space="preserve">AIGC decision accuracy rate</w:t>
            </w:r>
          </w:p>
        </w:tc>
        <w:tc>
          <w:p>
            <w:pPr>
              <w:pStyle w:val="Compact"/>
              <w:jc w:val="left"/>
            </w:pPr>
            <w:r>
              <w:rPr>
                <w:rFonts w:ascii="Arial" w:hAnsi="Arial" w:cs="Arial"/>
              </w:rPr>
              <w:t xml:space="preserve">≥90%</w:t>
            </w:r>
          </w:p>
        </w:tc>
        <w:tc>
          <w:p>
            <w:pPr>
              <w:pStyle w:val="Compact"/>
              <w:jc w:val="left"/>
            </w:pPr>
            <w:r>
              <w:rPr>
                <w:rFonts w:ascii="Arial" w:hAnsi="Arial" w:cs="Arial"/>
              </w:rPr>
              <w:t xml:space="preserve">Independent expert evaluation</w:t>
            </w:r>
          </w:p>
        </w:tc>
      </w:tr>
      <w:tr>
        <w:tc>
          <w:p>
            <w:pPr>
              <w:pStyle w:val="Compact"/>
              <w:jc w:val="left"/>
            </w:pPr>
            <w:r>
              <w:rPr>
                <w:rFonts w:ascii="Arial" w:hAnsi="Arial" w:cs="Arial"/>
                <w:b/>
              </w:rPr>
              <w:t xml:space="preserve">Judicial Justice</w:t>
            </w:r>
          </w:p>
        </w:tc>
        <w:tc>
          <w:p>
            <w:pPr>
              <w:pStyle w:val="Compact"/>
              <w:jc w:val="left"/>
            </w:pPr>
            <w:r>
              <w:rPr>
                <w:rFonts w:ascii="Arial" w:hAnsi="Arial" w:cs="Arial"/>
              </w:rPr>
              <w:t xml:space="preserve">AI verdict appeal rate</w:t>
            </w:r>
          </w:p>
        </w:tc>
        <w:tc>
          <w:p>
            <w:pPr>
              <w:pStyle w:val="Compact"/>
              <w:jc w:val="left"/>
            </w:pPr>
            <w:r>
              <w:rPr>
                <w:rFonts w:ascii="Arial" w:hAnsi="Arial" w:cs="Arial"/>
              </w:rPr>
              <w:t xml:space="preserve">≤8%</w:t>
            </w:r>
          </w:p>
        </w:tc>
        <w:tc>
          <w:p>
            <w:pPr>
              <w:pStyle w:val="Compact"/>
              <w:jc w:val="left"/>
            </w:pPr>
            <w:r>
              <w:rPr>
                <w:rFonts w:ascii="Arial" w:hAnsi="Arial" w:cs="Arial"/>
              </w:rPr>
              <w:t xml:space="preserve">Judicial database statistics</w:t>
            </w:r>
          </w:p>
        </w:tc>
      </w:tr>
      <w:tr>
        <w:tc>
          <w:p>
            <w:pPr>
              <w:pStyle w:val="Compact"/>
              <w:jc w:val="left"/>
            </w:pPr>
            <w:r>
              <w:rPr>
                <w:rFonts w:ascii="Arial" w:hAnsi="Arial" w:cs="Arial"/>
                <w:b/>
              </w:rPr>
              <w:t xml:space="preserve">Fiscal Transparency</w:t>
            </w:r>
          </w:p>
        </w:tc>
        <w:tc>
          <w:p>
            <w:pPr>
              <w:pStyle w:val="Compact"/>
              <w:jc w:val="left"/>
            </w:pPr>
            <w:r>
              <w:rPr>
                <w:rFonts w:ascii="Arial" w:hAnsi="Arial" w:cs="Arial"/>
              </w:rPr>
              <w:t xml:space="preserve">On-chain auditable transaction coverage</w:t>
            </w:r>
          </w:p>
        </w:tc>
        <w:tc>
          <w:p>
            <w:pPr>
              <w:pStyle w:val="Compact"/>
              <w:jc w:val="left"/>
            </w:pPr>
            <w:r>
              <w:rPr>
                <w:rFonts w:ascii="Arial" w:hAnsi="Arial" w:cs="Arial"/>
              </w:rPr>
              <w:t xml:space="preserve">100%</w:t>
            </w:r>
          </w:p>
        </w:tc>
        <w:tc>
          <w:p>
            <w:pPr>
              <w:pStyle w:val="Compact"/>
              <w:jc w:val="left"/>
            </w:pPr>
            <w:r>
              <w:rPr>
                <w:rFonts w:ascii="Arial" w:hAnsi="Arial" w:cs="Arial"/>
              </w:rPr>
              <w:t xml:space="preserve">Blockchain full-node verification</w:t>
            </w:r>
          </w:p>
        </w:tc>
      </w:tr>
      <w:tr>
        <w:tc>
          <w:p>
            <w:pPr>
              <w:pStyle w:val="Compact"/>
              <w:jc w:val="left"/>
            </w:pPr>
            <w:r>
              <w:rPr>
                <w:rFonts w:ascii="Arial" w:hAnsi="Arial" w:cs="Arial"/>
                <w:b/>
              </w:rPr>
              <w:t xml:space="preserve">Privacy Protection</w:t>
            </w:r>
          </w:p>
        </w:tc>
        <w:tc>
          <w:p>
            <w:pPr>
              <w:pStyle w:val="Compact"/>
              <w:jc w:val="left"/>
            </w:pPr>
            <w:r>
              <w:rPr>
                <w:rFonts w:ascii="Arial" w:hAnsi="Arial" w:cs="Arial"/>
              </w:rPr>
              <w:t xml:space="preserve">Unauthorized data access incidents</w:t>
            </w:r>
          </w:p>
        </w:tc>
        <w:tc>
          <w:p>
            <w:pPr>
              <w:pStyle w:val="Compact"/>
              <w:jc w:val="left"/>
            </w:pPr>
            <w:r>
              <w:rPr>
                <w:rFonts w:ascii="Arial" w:hAnsi="Arial" w:cs="Arial"/>
              </w:rPr>
              <w:t xml:space="preserve">0 times/year</w:t>
            </w:r>
          </w:p>
        </w:tc>
        <w:tc>
          <w:p>
            <w:pPr>
              <w:pStyle w:val="Compact"/>
              <w:jc w:val="left"/>
            </w:pPr>
            <w:r>
              <w:rPr>
                <w:rFonts w:ascii="Arial" w:hAnsi="Arial" w:cs="Arial"/>
              </w:rPr>
              <w:t xml:space="preserve">Security audit + intrusion detection</w:t>
            </w:r>
          </w:p>
        </w:tc>
      </w:tr>
      <w:tr>
        <w:tc>
          <w:p>
            <w:pPr>
              <w:pStyle w:val="Compact"/>
              <w:jc w:val="left"/>
            </w:pPr>
            <w:r>
              <w:rPr>
                <w:rFonts w:ascii="Arial" w:hAnsi="Arial" w:cs="Arial"/>
                <w:b/>
              </w:rPr>
              <w:t xml:space="preserve">Economic Growth</w:t>
            </w:r>
          </w:p>
        </w:tc>
        <w:tc>
          <w:p>
            <w:pPr>
              <w:pStyle w:val="Compact"/>
              <w:jc w:val="left"/>
            </w:pPr>
            <w:r>
              <w:rPr>
                <w:rFonts w:ascii="Arial" w:hAnsi="Arial" w:cs="Arial"/>
              </w:rPr>
              <w:t xml:space="preserve">Annual per capita GDP growth rate</w:t>
            </w:r>
          </w:p>
        </w:tc>
        <w:tc>
          <w:p>
            <w:pPr>
              <w:pStyle w:val="Compact"/>
              <w:jc w:val="left"/>
            </w:pPr>
            <w:r>
              <w:rPr>
                <w:rFonts w:ascii="Arial" w:hAnsi="Arial" w:cs="Arial"/>
              </w:rPr>
              <w:t xml:space="preserve">≥5%</w:t>
            </w:r>
          </w:p>
        </w:tc>
        <w:tc>
          <w:p>
            <w:pPr>
              <w:pStyle w:val="Compact"/>
              <w:jc w:val="left"/>
            </w:pPr>
            <w:r>
              <w:rPr>
                <w:rFonts w:ascii="Arial" w:hAnsi="Arial" w:cs="Arial"/>
              </w:rPr>
              <w:t xml:space="preserve">On-chain economic data statistics</w:t>
            </w:r>
          </w:p>
        </w:tc>
      </w:tr>
      <w:tr>
        <w:tc>
          <w:p>
            <w:pPr>
              <w:pStyle w:val="Compact"/>
              <w:jc w:val="left"/>
            </w:pPr>
            <w:r>
              <w:rPr>
                <w:rFonts w:ascii="Arial" w:hAnsi="Arial" w:cs="Arial"/>
                <w:b/>
              </w:rPr>
              <w:t xml:space="preserve">Livelihood Welfare</w:t>
            </w:r>
          </w:p>
        </w:tc>
        <w:tc>
          <w:p>
            <w:pPr>
              <w:pStyle w:val="Compact"/>
              <w:jc w:val="left"/>
            </w:pPr>
            <w:r>
              <w:rPr>
                <w:rFonts w:ascii="Arial" w:hAnsi="Arial" w:cs="Arial"/>
              </w:rPr>
              <w:t xml:space="preserve">Citizen satisfaction score</w:t>
            </w:r>
          </w:p>
        </w:tc>
        <w:tc>
          <w:p>
            <w:pPr>
              <w:pStyle w:val="Compact"/>
              <w:jc w:val="left"/>
            </w:pPr>
            <w:r>
              <w:rPr>
                <w:rFonts w:ascii="Arial" w:hAnsi="Arial" w:cs="Arial"/>
              </w:rPr>
              <w:t xml:space="preserve">≥8/10</w:t>
            </w:r>
          </w:p>
        </w:tc>
        <w:tc>
          <w:p>
            <w:pPr>
              <w:pStyle w:val="Compact"/>
              <w:jc w:val="left"/>
            </w:pPr>
            <w:r>
              <w:rPr>
                <w:rFonts w:ascii="Arial" w:hAnsi="Arial" w:cs="Arial"/>
              </w:rPr>
              <w:t xml:space="preserve">Regular anonymous surveys</w:t>
            </w:r>
          </w:p>
        </w:tc>
      </w:tr>
      <w:tr>
        <w:tc>
          <w:p>
            <w:pPr>
              <w:pStyle w:val="Compact"/>
              <w:jc w:val="left"/>
            </w:pPr>
            <w:r>
              <w:rPr>
                <w:rFonts w:ascii="Arial" w:hAnsi="Arial" w:cs="Arial"/>
                <w:b/>
              </w:rPr>
              <w:t xml:space="preserve">Scale Expansion</w:t>
            </w:r>
          </w:p>
        </w:tc>
        <w:tc>
          <w:p>
            <w:pPr>
              <w:pStyle w:val="Compact"/>
              <w:jc w:val="left"/>
            </w:pPr>
            <w:r>
              <w:rPr>
                <w:rFonts w:ascii="Arial" w:hAnsi="Arial" w:cs="Arial"/>
              </w:rPr>
              <w:t xml:space="preserve">Number of alliance cities</w:t>
            </w:r>
          </w:p>
        </w:tc>
        <w:tc>
          <w:p>
            <w:pPr>
              <w:pStyle w:val="Compact"/>
              <w:jc w:val="left"/>
            </w:pPr>
            <w:r>
              <w:rPr>
                <w:rFonts w:ascii="Arial" w:hAnsi="Arial" w:cs="Arial"/>
              </w:rPr>
              <w:t xml:space="preserve">≥10</w:t>
            </w:r>
          </w:p>
        </w:tc>
        <w:tc>
          <w:p>
            <w:pPr>
              <w:pStyle w:val="Compact"/>
              <w:jc w:val="left"/>
            </w:pPr>
            <w:r>
              <w:rPr>
                <w:rFonts w:ascii="Arial" w:hAnsi="Arial" w:cs="Arial"/>
              </w:rPr>
              <w:t xml:space="preserve">Alliance registration records</w:t>
            </w:r>
          </w:p>
        </w:tc>
      </w:tr>
      <w:tr>
        <w:tc>
          <w:p>
            <w:pPr>
              <w:pStyle w:val="Compact"/>
              <w:jc w:val="left"/>
            </w:pPr>
            <w:r>
              <w:rPr>
                <w:rFonts w:ascii="Arial" w:hAnsi="Arial" w:cs="Arial"/>
                <w:b/>
              </w:rPr>
              <w:t xml:space="preserve">International Recognition</w:t>
            </w:r>
          </w:p>
        </w:tc>
        <w:tc>
          <w:p>
            <w:pPr>
              <w:pStyle w:val="Compact"/>
              <w:jc w:val="left"/>
            </w:pPr>
            <w:r>
              <w:rPr>
                <w:rFonts w:ascii="Arial" w:hAnsi="Arial" w:cs="Arial"/>
              </w:rPr>
              <w:t xml:space="preserve">Number of international standard adoptions</w:t>
            </w:r>
          </w:p>
        </w:tc>
        <w:tc>
          <w:p>
            <w:pPr>
              <w:pStyle w:val="Compact"/>
              <w:jc w:val="left"/>
            </w:pPr>
            <w:r>
              <w:rPr>
                <w:rFonts w:ascii="Arial" w:hAnsi="Arial" w:cs="Arial"/>
              </w:rPr>
              <w:t xml:space="preserve">≥1</w:t>
            </w:r>
          </w:p>
        </w:tc>
        <w:tc>
          <w:p>
            <w:pPr>
              <w:pStyle w:val="Compact"/>
              <w:jc w:val="left"/>
            </w:pPr>
            <w:r>
              <w:rPr>
                <w:rFonts w:ascii="Arial" w:hAnsi="Arial" w:cs="Arial"/>
              </w:rPr>
              <w:t xml:space="preserve">Standards organization announcements</w:t>
            </w:r>
          </w:p>
        </w:tc>
      </w:tr>
    </w:tbl>
    <w:p>
      <w:pPr>
        <w:pStyle w:val="BodyText"/>
      </w:pPr>
      <w:r>
        <w:rPr>
          <w:rFonts w:ascii="Arial" w:hAnsi="Arial" w:cs="Arial"/>
          <w:b/>
        </w:rPr>
        <w:t xml:space="preserve">Summary of Vision Implementation Path</w:t>
      </w:r>
    </w:p>
    <w:p>
      <w:pPr>
        <w:pStyle w:val="BodyText"/>
      </w:pPr>
      <w:r>
        <w:rPr>
          <w:rFonts w:ascii="Arial" w:hAnsi="Arial" w:cs="Arial"/>
        </w:rPr>
        <w:t xml:space="preserve">The vision of DAOTONG is not a utopian fantasy but a civilizational evolution path with routes, milestones, and verifiable standards. From theoretical foundation to global alliance, from a community of thousands to a population in the tens of millions, every step has clear milestones, quantifiable success metrics, and comprehensive risk contingency plans. In the end, what DAOTONG seeks to prove is: human society can transcend the cyclical decline of political governance and move toward a new civilizational path empowered by AI, autonomous by citizens, and verifiable by rules.</w:t>
      </w:r>
    </w:p>
    <w:p>
      <w:pPr>
        <w:pStyle w:val="BodyText"/>
      </w:pPr>
      <w:r>
        <w:rPr>
          <w:rFonts w:ascii="Arial" w:hAnsi="Arial" w:cs="Arial"/>
        </w:rPr>
        <w:t xml:space="preserve">The end of this path is not a dystopia where AI rules over humans, nor a primitive utopia where humans reject technology, but a new civilizational paradigm where AI and humans each fulfill their respective roles, with balanced power and transparent rules——When the Way is understood, all things are connected.</w:t>
      </w:r>
    </w:p>
    <w:sectPr w:rsidR="00FC693F" w:rsidRPr="0006063C" w:rsidSect="00034616">
      <w:headerReference w:type="default" r:id="rId9"/>
      <w:footerReference w:type="default" r:id="rId10"/>
      <w:pgSz w:w="12240" w:h="15840"/>
      <w:pgMar w:top="1440" w:right="1728" w:bottom="1440" w:left="172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 xml:space="preserve">Page </w:t>
    </w:r>
    <w:r>
      <w:fldChar w:fldCharType="begin"/>
    </w:r>
    <w:r>
      <w:instrText xml:space="preserve"> PAGE </w:instrText>
    </w:r>
    <w:r>
      <w:fldChar w:fldCharType="end"/>
    </w:r>
    <w:r>
      <w:rPr>
        <w:rFonts w:ascii="Arial" w:hAnsi="Arial"/>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808080"/>
        <w:sz w:val="16"/>
      </w:rPr>
      <w:t>DAOTONG · AI Governance Roadmap · Confidentiality: Public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0" Type="http://schemas.openxmlformats.org/officeDocument/2006/relationships/image" Target="media/rId20.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2026-06-28T11:32:33Z</dcterms:created>
  <dcterms:modified xsi:type="dcterms:W3CDTF">2026-06-28T11:32:33Z</dcterms:modified>
</cp:coreProperties>
</file>

<file path=docProps/custom.xml><?xml version="1.0" encoding="utf-8"?>
<Properties xmlns="http://schemas.openxmlformats.org/officeDocument/2006/custom-properties" xmlns:vt="http://schemas.openxmlformats.org/officeDocument/2006/docPropsVTypes"/>
</file>