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ascii="Arial" w:hAnsi="Arial" w:cs="Arial"/>
          <w:b/>
        </w:rPr>
        <w:t xml:space="preserve">DAOTONG PROJECT</w:t>
      </w:r>
    </w:p>
    <w:p>
      <w:pPr>
        <w:pStyle w:val="BodyText"/>
      </w:pPr>
      <w:r>
        <w:rPr>
          <w:rFonts w:ascii="Arial" w:hAnsi="Arial" w:cs="Arial"/>
          <w:b/>
        </w:rPr>
        <w:t xml:space="preserve">AI Fiscal and Economic System</w:t>
      </w:r>
    </w:p>
    <w:p>
      <w:pPr>
        <w:pStyle w:val="BodyText"/>
      </w:pPr>
      <w:r>
        <w:rPr>
          <w:rFonts w:ascii="Arial" w:hAnsi="Arial" w:cs="Arial"/>
        </w:rPr>
        <w:t xml:space="preserve">Complete Design Specification</w:t>
      </w:r>
    </w:p>
    <w:p>
      <w:pPr>
        <w:pStyle w:val="BodyText"/>
      </w:pPr>
      <w:r>
        <w:rPr>
          <w:rFonts w:ascii="Arial" w:hAnsi="Arial" w:cs="Arial"/>
        </w:rPr>
        <w:t xml:space="preserve">━━━━━━━━━━━━━━━━━━━━━━━━━━━━━━━━</w:t>
      </w:r>
    </w:p>
    <w:p>
      <w:pPr>
        <w:pStyle w:val="BodyText"/>
      </w:pPr>
      <w:r>
        <w:rPr>
          <w:rFonts w:ascii="Arial" w:hAnsi="Arial" w:cs="Arial"/>
        </w:rPr>
        <w:t xml:space="preserve">Version: V1.0 Classification: Public Date: June 28, 2026</w:t>
      </w:r>
    </w:p>
    <w:p>
      <w:pPr>
        <w:pStyle w:val="BodyText"/>
      </w:pPr>
      <w:r>
        <w:rPr>
          <w:rFonts w:ascii="Arial" w:hAnsi="Arial" w:cs="Arial"/>
        </w:rPr>
        <w:t xml:space="preserve">DAOTONG Governance Architecture Team</w:t>
      </w:r>
    </w:p>
    <w:p>
      <w:pPr>
        <w:pStyle w:val="BodyText"/>
      </w:pPr>
      <w:r>
        <w:rPr>
          <w:rFonts w:ascii="Arial" w:hAnsi="Arial" w:cs="Arial"/>
          <w:b/>
        </w:rPr>
        <w:t xml:space="preserve">AI Fiscal and Economic System Architecture Diagram</w:t>
      </w:r>
    </w:p>
    <w:p>
      <w:pPr>
        <w:pStyle w:val="BodyText"/>
        <w:jc w:val="center"/>
      </w:pPr>
      <w:r>
        <w:rPr>
          <w:rFonts w:ascii="Arial" w:hAnsi="Arial" w:cs="Arial"/>
        </w:rPr>
        <w:drawing>
          <wp:inline>
            <wp:extent cx="5715000" cy="7379073"/>
            <wp:effectExtent b="0" l="0" r="0" t="0"/>
            <wp:docPr descr="" title="" id="1" name="Picture"/>
            <a:graphic>
              <a:graphicData uri="http://schemas.openxmlformats.org/drawingml/2006/picture">
                <pic:pic>
                  <pic:nvPicPr>
                    <pic:cNvPr descr="media/arch_diagram.png" id="0" name="Picture"/>
                    <pic:cNvPicPr>
                      <a:picLocks noChangeArrowheads="1" noChangeAspect="1"/>
                    </pic:cNvPicPr>
                  </pic:nvPicPr>
                  <pic:blipFill>
                    <a:blip r:embed="rId20"/>
                    <a:stretch>
                      <a:fillRect/>
                    </a:stretch>
                  </pic:blipFill>
                  <pic:spPr bwMode="auto">
                    <a:xfrm>
                      <a:off x="0" y="0"/>
                      <a:ext cx="5575300" cy="7379073"/>
                    </a:xfrm>
                    <a:prstGeom prst="rect">
                      <a:avLst/>
                    </a:prstGeom>
                    <a:noFill/>
                    <a:ln w="9525">
                      <a:noFill/>
                      <a:headEnd/>
                      <a:tailEnd/>
                    </a:ln>
                  </pic:spPr>
                </pic:pic>
              </a:graphicData>
            </a:graphic>
          </wp:inline>
        </w:drawing>
      </w:r>
    </w:p>
    <w:p>
      <w:pPr>
        <w:pStyle w:val="BodyText"/>
      </w:pPr>
      <w:r>
        <w:rPr>
          <w:rFonts w:ascii="Arial" w:hAnsi="Arial" w:cs="Arial"/>
        </w:rPr>
        <w:t xml:space="preserve">The figure above illustrates the complete architecture of the DAOTONG AI fiscal and economic system, covering the full closed-loop process from the revenue side (AI Labor Tax, data cooperation revenue, corporate taxes, and service charges) to the on-chain treasury (full transparency, AI-driven allocation, multi-signature authorization), and finally to the expenditure side (automated UBI disbursement, infrastructure construction, AI operations and security audits). This architecture ensures autonomous urban economic operation, fiscal transparency, and protection of citizens’ rights.</w:t>
      </w:r>
    </w:p>
    <w:p>
      <w:pPr>
        <w:pStyle w:val="BodyText"/>
      </w:pPr>
      <w:r>
        <w:rPr>
          <w:rFonts w:ascii="Arial" w:hAnsi="Arial" w:cs="Arial"/>
          <w:b/>
        </w:rPr>
        <w:t xml:space="preserve">Chapter 1 Treasury Flow Overview——Urban Economic Closed Loop</w:t>
      </w:r>
    </w:p>
    <w:p>
      <w:pPr>
        <w:pStyle w:val="BodyText"/>
      </w:pPr>
      <w:r>
        <w:rPr>
          <w:rFonts w:ascii="Arial" w:hAnsi="Arial" w:cs="Arial"/>
          <w:b/>
        </w:rPr>
        <w:t xml:space="preserve">1.1 System Overview</w:t>
      </w:r>
    </w:p>
    <w:p>
      <w:pPr>
        <w:pStyle w:val="BodyText"/>
      </w:pPr>
      <w:r>
        <w:rPr>
          <w:rFonts w:ascii="Arial" w:hAnsi="Arial" w:cs="Arial"/>
        </w:rPr>
        <w:t xml:space="preserve">The fiscal system of DAOTONG City is not a traditional tax-budget-expenditure model but rather an automated economic closed loop built on blockchain Smart Contracts. Every step of fund generation and distribution is traceable on-chain, eliminating human intervention and corruption opportunities in intermediate links. The entire system consists of three major modules: revenue side, on-chain treasury, and expenditure side, forming a self-balancing, self-adaptive economic ecosystem.</w:t>
      </w:r>
    </w:p>
    <w:p>
      <w:pPr>
        <w:pStyle w:val="BodyText"/>
      </w:pPr>
      <w:r>
        <w:rPr>
          <w:rFonts w:ascii="Arial" w:hAnsi="Arial" w:cs="Arial"/>
        </w:rPr>
        <w:t>The core philosophy of this design is “machines execute, humans supervise”: AI systems handle daily fiscal calculations and execution, while humans ensure the system remains aligned with public interest through constitutional constraints, Elder Council veto power, and Referendum. This division of labor ensures both efficiency and safety.</w:t>
      </w:r>
    </w:p>
    <w:p>
      <w:pPr>
        <w:pStyle w:val="BodyText"/>
      </w:pPr>
      <w:r>
        <w:rPr>
          <w:rFonts w:ascii="Arial" w:hAnsi="Arial" w:cs="Arial"/>
          <w:b/>
        </w:rPr>
        <w:t xml:space="preserve">1.2 Revenue Side</w:t>
      </w:r>
    </w:p>
    <w:p>
      <w:pPr>
        <w:pStyle w:val="BodyText"/>
      </w:pPr>
      <w:r>
        <w:rPr>
          <w:rFonts w:ascii="Arial" w:hAnsi="Arial" w:cs="Arial"/>
          <w:b/>
        </w:rPr>
        <w:t xml:space="preserve">1.2.1 AI Labor Tax (Primary Revenue)</w:t>
      </w:r>
    </w:p>
    <w:p>
      <w:pPr>
        <w:pStyle w:val="BodyText"/>
      </w:pPr>
      <w:r>
        <w:rPr>
          <w:rFonts w:ascii="Arial" w:hAnsi="Arial" w:cs="Arial"/>
        </w:rPr>
        <w:t>The AI Labor Tax is the cornerstone of the DAOTONG fiscal system, accounting for 60%-75% of the city’s total revenue. Its design principle is: when AI replaces human labor to generate economic value, this value should be returned to society through the tax mechanism, rather than being monopolized by a small number of capital holders. The AI Labor Tax is not a penalty on AI technology itself, but a fair compensation for the “social cost of labor substitution.”</w:t>
      </w:r>
    </w:p>
    <w:p>
      <w:pPr>
        <w:pStyle w:val="BodyText"/>
      </w:pPr>
      <w:r>
        <w:rPr>
          <w:rFonts w:ascii="Arial" w:hAnsi="Arial" w:cs="Arial"/>
        </w:rPr>
        <w:t>The AI Labor Tax is levied on all AI systems operating within the city’s jurisdiction, regardless of whether their owners are local enterprises, multinational corporations, or public service institutions. The tax base is calculated based on the “work units” output of AI systems, rather than traditional profit or revenue, ensuring the tax is directly linked to the actual economic contribution of AI.</w:t>
      </w:r>
    </w:p>
    <w:p>
      <w:pPr>
        <w:pStyle w:val="BodyText"/>
      </w:pPr>
      <w:r>
        <w:rPr>
          <w:rFonts w:ascii="Arial" w:hAnsi="Arial" w:cs="Arial"/>
          <w:b/>
        </w:rPr>
        <w:t xml:space="preserve">1.2.2 Data Cooperation Revenue</w:t>
      </w:r>
    </w:p>
    <w:p>
      <w:pPr>
        <w:pStyle w:val="BodyText"/>
      </w:pPr>
      <w:r>
        <w:rPr>
          <w:rFonts w:ascii="Arial" w:hAnsi="Arial" w:cs="Arial"/>
        </w:rPr>
        <w:t>The city generates massive amounts of public data (transportation, environment, energy, etc.), which can be shared with certified research institutions and enterprises through a data cooperation platform after anonymization processing. Data cooperation revenue accounts for 15%-25% of total revenue, adopting a “usage-based billing” model: higher data call volume results in higher charges, but unit prices decrease with usage, encouraging rational use while preventing monopolistic hoarding.</w:t>
      </w:r>
    </w:p>
    <w:p>
      <w:pPr>
        <w:pStyle w:val="BodyText"/>
      </w:pPr>
      <w:r>
        <w:rPr>
          <w:rFonts w:ascii="Arial" w:hAnsi="Arial" w:cs="Arial"/>
        </w:rPr>
        <w:t>Data cooperation revenue distribution follows the “data source priority” principle: communities that generate data receive 40% of revenue returned for community development and resident welfare; the remaining 60% enters the on-chain treasury as part of public finance.</w:t>
      </w:r>
    </w:p>
    <w:p>
      <w:pPr>
        <w:pStyle w:val="BodyText"/>
      </w:pPr>
      <w:r>
        <w:rPr>
          <w:rFonts w:ascii="Arial" w:hAnsi="Arial" w:cs="Arial"/>
          <w:b/>
        </w:rPr>
        <w:t xml:space="preserve">1.2.3 Corporate Taxes and Service Charges</w:t>
      </w:r>
    </w:p>
    <w:p>
      <w:pPr>
        <w:pStyle w:val="BodyText"/>
      </w:pPr>
      <w:r>
        <w:rPr>
          <w:rFonts w:ascii="Arial" w:hAnsi="Arial" w:cs="Arial"/>
        </w:rPr>
        <w:t xml:space="preserve">Traditional corporate income taxes and service charges serve as supplementary revenue sources, accounting for 10%-20% of total revenue. Corporate tax adopts a simplified progressive rate: 5% for annual revenue below 10 million, 8% for 10 million to 100 million, and 12% for above 100 million. Service charges mainly cover public facility usage fees, license fees, etc., with fee standards calculated automatically by the AI system based on operating costs and market equilibrium.</w:t>
      </w:r>
    </w:p>
    <w:p>
      <w:pPr>
        <w:pStyle w:val="BodyText"/>
      </w:pPr>
      <w:r>
        <w:rPr>
          <w:rFonts w:ascii="Arial" w:hAnsi="Arial" w:cs="Arial"/>
          <w:b/>
        </w:rPr>
        <w:t xml:space="preserve">1.3 On-chain Treasury</w:t>
      </w:r>
    </w:p>
    <w:p>
      <w:pPr>
        <w:pStyle w:val="BodyText"/>
      </w:pPr>
      <w:r>
        <w:rPr>
          <w:rFonts w:ascii="Arial" w:hAnsi="Arial" w:cs="Arial"/>
          <w:b/>
        </w:rPr>
        <w:t xml:space="preserve">1.3.1 Full Transparency</w:t>
      </w:r>
    </w:p>
    <w:p>
      <w:pPr>
        <w:pStyle w:val="BodyText"/>
      </w:pPr>
      <w:r>
        <w:rPr>
          <w:rFonts w:ascii="Arial" w:hAnsi="Arial" w:cs="Arial"/>
        </w:rPr>
        <w:t>The on-chain treasury is the core hub of the DAOTONG fiscal system. Every inflow and outflow of funds is recorded on the blockchain, and any citizen can view real-time status through a public dashboard. Treasury addresses, balances, and transaction histories are entirely public, with no “gray accounts” or “special channels.” This transparency is not a technical gimmick but a fundamental negation of traditional fiscal opacity.</w:t>
      </w:r>
    </w:p>
    <w:p>
      <w:pPr>
        <w:pStyle w:val="BodyText"/>
      </w:pPr>
      <w:r>
        <w:rPr>
          <w:rFonts w:ascii="Arial" w:hAnsi="Arial" w:cs="Arial"/>
        </w:rPr>
        <w:t xml:space="preserve">Technical implementation of transparency mechanism: All state changes to the treasury Smart Contract trigger on-chain Events, which are indexed and pushed in real-time to citizens’ dashboards. The dashboard supports multi-dimensional filtering by time, amount, category, and payee, and automatically generates visual reports.</w:t>
      </w:r>
    </w:p>
    <w:p>
      <w:pPr>
        <w:pStyle w:val="BodyText"/>
      </w:pPr>
      <w:r>
        <w:rPr>
          <w:rFonts w:ascii="Arial" w:hAnsi="Arial" w:cs="Arial"/>
          <w:b/>
        </w:rPr>
        <w:t xml:space="preserve">1.3.2 AI Automated Allocation</w:t>
      </w:r>
    </w:p>
    <w:p>
      <w:pPr>
        <w:pStyle w:val="BodyText"/>
      </w:pPr>
      <w:r>
        <w:rPr>
          <w:rFonts w:ascii="Arial" w:hAnsi="Arial" w:cs="Arial"/>
        </w:rPr>
        <w:t xml:space="preserve">Daily treasury fund allocation is automatically executed by the AI budget allocation algorithm, which strictly follows the Constitution-mandated allocation priorities: UBI disbursement &gt; Infrastructure maintenance &gt; AI operations &gt; Security audits &gt; Development reserves. The AI system conducts weekly revenue forecasts and dynamically adjusts the funding rhythms for various projects, ensuring UBI disbursement is unaffected by any revenue fluctuations.</w:t>
      </w:r>
    </w:p>
    <w:p>
      <w:pPr>
        <w:pStyle w:val="BodyText"/>
      </w:pPr>
      <w:r>
        <w:rPr>
          <w:rFonts w:ascii="Arial" w:hAnsi="Arial" w:cs="Arial"/>
          <w:b/>
        </w:rPr>
        <w:t xml:space="preserve">1.3.3 Anyone Can Audit</w:t>
      </w:r>
    </w:p>
    <w:p>
      <w:pPr>
        <w:pStyle w:val="BodyText"/>
      </w:pPr>
      <w:r>
        <w:rPr>
          <w:rFonts w:ascii="Arial" w:hAnsi="Arial" w:cs="Arial"/>
        </w:rPr>
        <w:t xml:space="preserve">The audit right is a fundamental citizen right, requiring no threshold or authorization. Citizens can download complete treasury transaction data (formatted JSON) and use officially provided open-source audit tools or write their own programs for verification. Audit results can be posted to public forums, and any anomalies automatically trigger review procedures by the independent audit network.</w:t>
      </w:r>
    </w:p>
    <w:p>
      <w:pPr>
        <w:pStyle w:val="BodyText"/>
      </w:pPr>
      <w:r>
        <w:rPr>
          <w:rFonts w:ascii="Arial" w:hAnsi="Arial" w:cs="Arial"/>
          <w:b/>
        </w:rPr>
        <w:t xml:space="preserve">1.3.4 Expenditures Require Multi-signature Authorization</w:t>
      </w:r>
    </w:p>
    <w:p>
      <w:pPr>
        <w:pStyle w:val="BodyText"/>
      </w:pPr>
      <w:r>
        <w:rPr>
          <w:rFonts w:ascii="Arial" w:hAnsi="Arial" w:cs="Arial"/>
        </w:rPr>
        <w:t xml:space="preserve">Single expenditures exceeding 200% of the treasury’s daily average expenditure require multi-signature authorization. The multi-signature mechanism requires: at least 3 Elder Council members + 5 randomly selected citizen representatives signing jointly, with signatures completed within 48 hours; expiration is automatic upon timeout. This mechanism ensures that even if the AI system malfunctions, it cannot independently complete large expenditures.</w:t>
      </w:r>
    </w:p>
    <w:p>
      <w:pPr>
        <w:pStyle w:val="BodyText"/>
      </w:pPr>
      <w:r>
        <w:rPr>
          <w:rFonts w:ascii="Arial" w:hAnsi="Arial" w:cs="Arial"/>
          <w:b/>
        </w:rPr>
        <w:t xml:space="preserve">1.3.5 No Intermediaries</w:t>
      </w:r>
    </w:p>
    <w:p>
      <w:pPr>
        <w:pStyle w:val="BodyText"/>
      </w:pPr>
      <w:r>
        <w:rPr>
          <w:rFonts w:ascii="Arial" w:hAnsi="Arial" w:cs="Arial"/>
        </w:rPr>
        <w:t>The traditional fiscal “appropriation-review-execution-reconciliation” chain is completely eliminated in DAOTONG. Funds flow directly from the treasury to beneficiary accounts, with no secondary distribution links such as “department budgets” or “project appropriations.” UBI disbursement is fully automated: Smart Contracts automatically execute on the 1st of each month, transferring funds from the treasury address to all eligible citizens’ digital wallets, with the entire process requiring no manual operation.</w:t>
      </w:r>
    </w:p>
    <w:tbl>
      <w:tblPr>
        <w:tblStyle w:val="Table"/>
        <w:tblW w:type="pct" w:w="5000.0"/>
        <w:tblLook w:firstRow="0"/>
      </w:tblPr>
      <w:tblGrid>
        <w:gridCol w:w="1704"/>
        <w:gridCol w:w="1403"/>
        <w:gridCol w:w="2807"/>
        <w:gridCol w:w="2005"/>
      </w:tblGrid>
      <w:tr>
        <w:tc>
          <w:p>
            <w:pPr>
              <w:pStyle w:val="Compact"/>
              <w:jc w:val="left"/>
            </w:pPr>
            <w:r>
              <w:rPr>
                <w:rFonts w:ascii="Arial" w:hAnsi="Arial" w:cs="Arial"/>
                <w:b/>
              </w:rPr>
              <w:t xml:space="preserve">Revenue Source</w:t>
            </w:r>
          </w:p>
        </w:tc>
        <w:tc>
          <w:p>
            <w:pPr>
              <w:pStyle w:val="Compact"/>
              <w:jc w:val="left"/>
            </w:pPr>
            <w:r>
              <w:rPr>
                <w:rFonts w:ascii="Arial" w:hAnsi="Arial" w:cs="Arial"/>
                <w:b/>
              </w:rPr>
              <w:t xml:space="preserve">Proportion Range</w:t>
            </w:r>
          </w:p>
        </w:tc>
        <w:tc>
          <w:p>
            <w:pPr>
              <w:pStyle w:val="Compact"/>
              <w:jc w:val="left"/>
            </w:pPr>
            <w:r>
              <w:rPr>
                <w:rFonts w:ascii="Arial" w:hAnsi="Arial" w:cs="Arial"/>
                <w:b/>
              </w:rPr>
              <w:t xml:space="preserve">Collection Method</w:t>
            </w:r>
          </w:p>
        </w:tc>
        <w:tc>
          <w:p>
            <w:pPr>
              <w:pStyle w:val="Compact"/>
              <w:jc w:val="left"/>
            </w:pPr>
            <w:r>
              <w:rPr>
                <w:rFonts w:ascii="Arial" w:hAnsi="Arial" w:cs="Arial"/>
                <w:b/>
              </w:rPr>
              <w:t xml:space="preserve">Adjustment Frequency</w:t>
            </w:r>
          </w:p>
        </w:tc>
      </w:tr>
      <w:tr>
        <w:tc>
          <w:p>
            <w:pPr>
              <w:pStyle w:val="Compact"/>
              <w:jc w:val="left"/>
            </w:pPr>
            <w:r>
              <w:rPr>
                <w:rFonts w:ascii="Arial" w:hAnsi="Arial" w:cs="Arial"/>
              </w:rPr>
              <w:t xml:space="preserve">AI Labor Tax</w:t>
            </w:r>
          </w:p>
        </w:tc>
        <w:tc>
          <w:p>
            <w:pPr>
              <w:pStyle w:val="Compact"/>
              <w:jc w:val="left"/>
            </w:pPr>
            <w:r>
              <w:rPr>
                <w:rFonts w:ascii="Arial" w:hAnsi="Arial" w:cs="Arial"/>
              </w:rPr>
              <w:t xml:space="preserve">60%-75%</w:t>
            </w:r>
          </w:p>
        </w:tc>
        <w:tc>
          <w:p>
            <w:pPr>
              <w:pStyle w:val="Compact"/>
              <w:jc w:val="left"/>
            </w:pPr>
            <w:r>
              <w:rPr>
                <w:rFonts w:ascii="Arial" w:hAnsi="Arial" w:cs="Arial"/>
              </w:rPr>
              <w:t xml:space="preserve">Work units × substitution factor × base rate</w:t>
            </w:r>
          </w:p>
        </w:tc>
        <w:tc>
          <w:p>
            <w:pPr>
              <w:pStyle w:val="Compact"/>
              <w:jc w:val="left"/>
            </w:pPr>
            <w:r>
              <w:rPr>
                <w:rFonts w:ascii="Arial" w:hAnsi="Arial" w:cs="Arial"/>
              </w:rPr>
              <w:t xml:space="preserve">Real-time calculation, quarterly review</w:t>
            </w:r>
          </w:p>
        </w:tc>
      </w:tr>
      <w:tr>
        <w:tc>
          <w:p>
            <w:pPr>
              <w:pStyle w:val="Compact"/>
              <w:jc w:val="left"/>
            </w:pPr>
            <w:r>
              <w:rPr>
                <w:rFonts w:ascii="Arial" w:hAnsi="Arial" w:cs="Arial"/>
              </w:rPr>
              <w:t xml:space="preserve">Data Cooperation Revenue</w:t>
            </w:r>
          </w:p>
        </w:tc>
        <w:tc>
          <w:p>
            <w:pPr>
              <w:pStyle w:val="Compact"/>
              <w:jc w:val="left"/>
            </w:pPr>
            <w:r>
              <w:rPr>
                <w:rFonts w:ascii="Arial" w:hAnsi="Arial" w:cs="Arial"/>
              </w:rPr>
              <w:t xml:space="preserve">15%-25%</w:t>
            </w:r>
          </w:p>
        </w:tc>
        <w:tc>
          <w:p>
            <w:pPr>
              <w:pStyle w:val="Compact"/>
              <w:jc w:val="left"/>
            </w:pPr>
            <w:r>
              <w:rPr>
                <w:rFonts w:ascii="Arial" w:hAnsi="Arial" w:cs="Arial"/>
              </w:rPr>
              <w:t xml:space="preserve">Usage-based billing, tiered decreasing</w:t>
            </w:r>
          </w:p>
        </w:tc>
        <w:tc>
          <w:p>
            <w:pPr>
              <w:pStyle w:val="Compact"/>
              <w:jc w:val="left"/>
            </w:pPr>
            <w:r>
              <w:rPr>
                <w:rFonts w:ascii="Arial" w:hAnsi="Arial" w:cs="Arial"/>
              </w:rPr>
              <w:t xml:space="preserve">Monthly adjustment</w:t>
            </w:r>
          </w:p>
        </w:tc>
      </w:tr>
      <w:tr>
        <w:tc>
          <w:p>
            <w:pPr>
              <w:pStyle w:val="Compact"/>
              <w:jc w:val="left"/>
            </w:pPr>
            <w:r>
              <w:rPr>
                <w:rFonts w:ascii="Arial" w:hAnsi="Arial" w:cs="Arial"/>
              </w:rPr>
              <w:t xml:space="preserve">Corporate Tax · Service Charges</w:t>
            </w:r>
          </w:p>
        </w:tc>
        <w:tc>
          <w:p>
            <w:pPr>
              <w:pStyle w:val="Compact"/>
              <w:jc w:val="left"/>
            </w:pPr>
            <w:r>
              <w:rPr>
                <w:rFonts w:ascii="Arial" w:hAnsi="Arial" w:cs="Arial"/>
              </w:rPr>
              <w:t xml:space="preserve">10%-20%</w:t>
            </w:r>
          </w:p>
        </w:tc>
        <w:tc>
          <w:p>
            <w:pPr>
              <w:pStyle w:val="Compact"/>
              <w:jc w:val="left"/>
            </w:pPr>
            <w:r>
              <w:rPr>
                <w:rFonts w:ascii="Arial" w:hAnsi="Arial" w:cs="Arial"/>
              </w:rPr>
              <w:t xml:space="preserve">Progressive rate/cost-based pricing</w:t>
            </w:r>
          </w:p>
        </w:tc>
        <w:tc>
          <w:p>
            <w:pPr>
              <w:pStyle w:val="Compact"/>
              <w:jc w:val="left"/>
            </w:pPr>
            <w:r>
              <w:rPr>
                <w:rFonts w:ascii="Arial" w:hAnsi="Arial" w:cs="Arial"/>
              </w:rPr>
              <w:t xml:space="preserve">Annual assessment</w:t>
            </w:r>
          </w:p>
        </w:tc>
      </w:tr>
    </w:tbl>
    <w:p>
      <w:pPr>
        <w:pStyle w:val="BodyText"/>
      </w:pPr>
      <w:r>
        <w:rPr>
          <w:rFonts w:ascii="Arial" w:hAnsi="Arial" w:cs="Arial"/>
          <w:b/>
        </w:rPr>
        <w:t xml:space="preserve">1.4 Expenditure Side</w:t>
      </w:r>
    </w:p>
    <w:p>
      <w:pPr>
        <w:pStyle w:val="BodyText"/>
      </w:pPr>
      <w:r>
        <w:rPr>
          <w:rFonts w:ascii="Arial" w:hAnsi="Arial" w:cs="Arial"/>
          <w:b/>
        </w:rPr>
        <w:t xml:space="preserve">1.4.1 UBI Automated Disbursement (Highest Priority)</w:t>
      </w:r>
    </w:p>
    <w:p>
      <w:pPr>
        <w:pStyle w:val="BodyText"/>
      </w:pPr>
      <w:r>
        <w:rPr>
          <w:rFonts w:ascii="Arial" w:hAnsi="Arial" w:cs="Arial"/>
        </w:rPr>
        <w:t>UBI (Universal Basic Income) holds the highest priority on the expenditure side, enjoying Constitution-guaranteed “rigid expenditure” status. This means UBI disbursement cannot be reduced or delayed under any fiscal conditions. This priority is hard-coded in the Smart Contract: when checking treasury balance, sufficient reserves for 12 months of UBI disbursement are first reserved; only remaining funds can be used for other expenditures.</w:t>
      </w:r>
    </w:p>
    <w:p>
      <w:pPr>
        <w:pStyle w:val="BodyText"/>
      </w:pPr>
      <w:r>
        <w:rPr>
          <w:rFonts w:ascii="Arial" w:hAnsi="Arial" w:cs="Arial"/>
          <w:b/>
        </w:rPr>
        <w:t xml:space="preserve">1.4.2 Infrastructure Construction</w:t>
      </w:r>
    </w:p>
    <w:p>
      <w:pPr>
        <w:pStyle w:val="BodyText"/>
      </w:pPr>
      <w:r>
        <w:rPr>
          <w:rFonts w:ascii="Arial" w:hAnsi="Arial" w:cs="Arial"/>
        </w:rPr>
        <w:t>Infrastructure construction expenditures account for 20%-30% of total expenditures, covering transportation, energy, communications, public spaces, and other areas. Project initiation adopts a dual-track system of “AI assessment + citizen voting”: the AI system evaluates project necessity and priority based on data models and generates recommended plans; citizens vote on the plans, and projects require more than 50% approval to proceed.</w:t>
      </w:r>
    </w:p>
    <w:p>
      <w:pPr>
        <w:pStyle w:val="BodyText"/>
      </w:pPr>
      <w:r>
        <w:rPr>
          <w:rFonts w:ascii="Arial" w:hAnsi="Arial" w:cs="Arial"/>
          <w:b/>
        </w:rPr>
        <w:t xml:space="preserve">1.4.3 AI Operations and Security Audits</w:t>
      </w:r>
    </w:p>
    <w:p>
      <w:pPr>
        <w:pStyle w:val="BodyText"/>
      </w:pPr>
      <w:r>
        <w:rPr>
          <w:rFonts w:ascii="Arial" w:hAnsi="Arial" w:cs="Arial"/>
        </w:rPr>
        <w:t xml:space="preserve">AI operations and security audits are necessary investments to ensure continuous system operation, accounting for 10%-15% of total expenditures. Operations funding covers AI system hardware maintenance, algorithm updates, performance optimization, etc.; security audit funding is used to hire independent audit institutions for quarterly audits, penetration testing, and security drills. This expenditure category is also Constitution-protected and cannot be reduced below the minimum level required for safe operation.</w:t>
      </w:r>
    </w:p>
    <w:p>
      <w:pPr>
        <w:pStyle w:val="BodyText"/>
      </w:pPr>
      <w:r>
        <w:rPr>
          <w:rFonts w:ascii="Arial" w:hAnsi="Arial" w:cs="Arial"/>
          <w:b/>
        </w:rPr>
        <w:t xml:space="preserve">1.5 System Interfaces</w:t>
      </w:r>
    </w:p>
    <w:p>
      <w:pPr>
        <w:pStyle w:val="BodyText"/>
      </w:pPr>
      <w:r>
        <w:rPr>
          <w:rFonts w:ascii="Arial" w:hAnsi="Arial" w:cs="Arial"/>
        </w:rPr>
        <w:t xml:space="preserve">The treasury flow system has the following critical interfaces with other DAOTONG core systems:</w:t>
      </w:r>
    </w:p>
    <w:p>
      <w:pPr>
        <w:numPr>
          <w:ilvl w:val="0"/>
          <w:numId w:val="1001"/>
        </w:numPr>
      </w:pPr>
      <w:r>
        <w:rPr>
          <w:rFonts w:ascii="Arial" w:hAnsi="Arial" w:cs="Arial"/>
          <w:b/>
        </w:rPr>
        <w:t xml:space="preserve">Interface with Governance System:</w:t>
      </w:r>
      <w:r>
        <w:rPr>
          <w:rFonts w:ascii="Arial" w:hAnsi="Arial" w:cs="Arial"/>
        </w:rPr>
        <w:t xml:space="preserve"> Budget allocation priorities are defined by the Constitution, and modifications require Referendum; the Elder Council has veto power over abnormal expenditures.</w:t>
      </w:r>
    </w:p>
    <w:p>
      <w:pPr>
        <w:numPr>
          <w:ilvl w:val="0"/>
          <w:numId w:val="1001"/>
        </w:numPr>
      </w:pPr>
      <w:r>
        <w:rPr>
          <w:rFonts w:ascii="Arial" w:hAnsi="Arial" w:cs="Arial"/>
          <w:b/>
        </w:rPr>
        <w:t xml:space="preserve">Interface with Identity System:</w:t>
      </w:r>
      <w:r>
        <w:rPr>
          <w:rFonts w:ascii="Arial" w:hAnsi="Arial" w:cs="Arial"/>
        </w:rPr>
        <w:t xml:space="preserve"> UBI disbursement depends on citizen identity verification; newly registered citizens are automatically added to the UBI disbursement list.</w:t>
      </w:r>
    </w:p>
    <w:p>
      <w:pPr>
        <w:numPr>
          <w:ilvl w:val="0"/>
          <w:numId w:val="1001"/>
        </w:numPr>
      </w:pPr>
      <w:r>
        <w:rPr>
          <w:rFonts w:ascii="Arial" w:hAnsi="Arial" w:cs="Arial"/>
          <w:b/>
        </w:rPr>
        <w:t xml:space="preserve">Interface with AI Monitoring System:</w:t>
      </w:r>
      <w:r>
        <w:rPr>
          <w:rFonts w:ascii="Arial" w:hAnsi="Arial" w:cs="Arial"/>
        </w:rPr>
        <w:t xml:space="preserve"> Operating parameters of the AI budget allocation algorithm are audited in real-time by the monitoring system, with any deviations triggering alerts.</w:t>
      </w:r>
    </w:p>
    <w:p>
      <w:pPr>
        <w:numPr>
          <w:ilvl w:val="0"/>
          <w:numId w:val="1001"/>
        </w:numPr>
      </w:pPr>
      <w:r>
        <w:rPr>
          <w:rFonts w:ascii="Arial" w:hAnsi="Arial" w:cs="Arial"/>
          <w:b/>
        </w:rPr>
        <w:t xml:space="preserve">Interface with Security Protection System:</w:t>
      </w:r>
      <w:r>
        <w:rPr>
          <w:rFonts w:ascii="Arial" w:hAnsi="Arial" w:cs="Arial"/>
        </w:rPr>
        <w:t xml:space="preserve"> Critical operations of the treasury Smart Contract require multi-factor verification through the security protection system.</w:t>
      </w:r>
    </w:p>
    <w:p>
      <w:pPr>
        <w:pStyle w:val="FirstParagraph"/>
      </w:pPr>
      <w:r>
        <w:rPr>
          <w:rFonts w:ascii="Arial" w:hAnsi="Arial" w:cs="Arial"/>
          <w:b/>
        </w:rPr>
        <w:t xml:space="preserve">1.6 Verification Methods</w:t>
      </w:r>
    </w:p>
    <w:p>
      <w:pPr>
        <w:pStyle w:val="BodyText"/>
      </w:pPr>
      <w:r>
        <w:rPr>
          <w:rFonts w:ascii="Arial" w:hAnsi="Arial" w:cs="Arial"/>
        </w:rPr>
        <w:t xml:space="preserve">To ensure correct operation of the treasury flow system, the following verification mechanisms are designed:</w:t>
      </w:r>
    </w:p>
    <w:p>
      <w:pPr>
        <w:numPr>
          <w:ilvl w:val="0"/>
          <w:numId w:val="1002"/>
        </w:numPr>
      </w:pPr>
      <w:r>
        <w:rPr>
          <w:rFonts w:ascii="Arial" w:hAnsi="Arial" w:cs="Arial"/>
          <w:b/>
        </w:rPr>
        <w:t xml:space="preserve">Real-time Verification:</w:t>
      </w:r>
      <w:r>
        <w:rPr>
          <w:rFonts w:ascii="Arial" w:hAnsi="Arial" w:cs="Arial"/>
        </w:rPr>
        <w:t xml:space="preserve"> After each transaction execution, independent verification nodes automatically verify amount, direction, and authorization status.</w:t>
      </w:r>
    </w:p>
    <w:p>
      <w:pPr>
        <w:numPr>
          <w:ilvl w:val="0"/>
          <w:numId w:val="1002"/>
        </w:numPr>
      </w:pPr>
      <w:r>
        <w:rPr>
          <w:rFonts w:ascii="Arial" w:hAnsi="Arial" w:cs="Arial"/>
          <w:b/>
        </w:rPr>
        <w:t xml:space="preserve">Periodic Audits:</w:t>
      </w:r>
      <w:r>
        <w:rPr>
          <w:rFonts w:ascii="Arial" w:hAnsi="Arial" w:cs="Arial"/>
        </w:rPr>
        <w:t xml:space="preserve"> Independent audit institutions conduct full audits of complete treasury transaction records quarterly.</w:t>
      </w:r>
    </w:p>
    <w:p>
      <w:pPr>
        <w:numPr>
          <w:ilvl w:val="0"/>
          <w:numId w:val="1002"/>
        </w:numPr>
      </w:pPr>
      <w:r>
        <w:rPr>
          <w:rFonts w:ascii="Arial" w:hAnsi="Arial" w:cs="Arial"/>
          <w:b/>
        </w:rPr>
        <w:t xml:space="preserve">Stress Testing:</w:t>
      </w:r>
      <w:r>
        <w:rPr>
          <w:rFonts w:ascii="Arial" w:hAnsi="Arial" w:cs="Arial"/>
        </w:rPr>
        <w:t xml:space="preserve"> Every six months, scenarios simulating a 50% sudden revenue drop are simulated to verify UBI rigid guarantees and reserve fund sufficiency.</w:t>
      </w:r>
    </w:p>
    <w:p>
      <w:pPr>
        <w:numPr>
          <w:ilvl w:val="0"/>
          <w:numId w:val="1002"/>
        </w:numPr>
      </w:pPr>
      <w:r>
        <w:rPr>
          <w:rFonts w:ascii="Arial" w:hAnsi="Arial" w:cs="Arial"/>
          <w:b/>
        </w:rPr>
        <w:t xml:space="preserve">Penetration Testing:</w:t>
      </w:r>
      <w:r>
        <w:rPr>
          <w:rFonts w:ascii="Arial" w:hAnsi="Arial" w:cs="Arial"/>
        </w:rPr>
        <w:t xml:space="preserve"> Annual security penetration testing of treasury Smart Contracts to verify multi-signature and authorization mechanisms.</w:t>
      </w:r>
    </w:p>
    <w:p>
      <w:pPr>
        <w:pStyle w:val="FirstParagraph"/>
      </w:pPr>
      <w:r>
        <w:rPr>
          <w:rFonts w:ascii="Arial" w:hAnsi="Arial" w:cs="Arial"/>
          <w:b/>
        </w:rPr>
        <w:t xml:space="preserve">Chapter 2 AI Labor Tax System——Core Innovation</w:t>
      </w:r>
    </w:p>
    <w:p>
      <w:pPr>
        <w:pStyle w:val="BodyText"/>
      </w:pPr>
      <w:r>
        <w:rPr>
          <w:rFonts w:ascii="Arial" w:hAnsi="Arial" w:cs="Arial"/>
          <w:b/>
        </w:rPr>
        <w:t xml:space="preserve">2.1 Design Philosophy</w:t>
      </w:r>
    </w:p>
    <w:p>
      <w:pPr>
        <w:pStyle w:val="BodyText"/>
      </w:pPr>
      <w:r>
        <w:rPr>
          <w:rFonts w:ascii="Arial" w:hAnsi="Arial" w:cs="Arial"/>
        </w:rPr>
        <w:t>The AI Labor Tax is the most groundbreaking institutional design in DAOTONG. Traditional tax systems are based on the logic of “taxing human labor and income,” but when AIAfter replacing human labor on a large scale，The traditional tax base will shrink sharply——Unemployed people cannot afford to pay taxes，ProfitableAIbut not within the scope of taxation。AIThe essence of labor tax is“Tax on machines that replace labor”，Ensure that the benefits of technological progress are not monopolized by a few，but throughUBIand other mechanisms to benefit all people。</w:t>
      </w:r>
    </w:p>
    <w:p>
      <w:pPr>
        <w:pStyle w:val="BodyText"/>
      </w:pPr>
      <w:r>
        <w:rPr>
          <w:rFonts w:ascii="Arial" w:hAnsi="Arial" w:cs="Arial"/>
        </w:rPr>
        <w:t xml:space="preserve">The theoretical basis of this design comes from two economic propositions：First，Technological progress should serve the whole society rather than a few people，This requires the establishment of a value redistribution mechanism；second，AIeconomic output is essentially dependent on social infrastructure（data、network、Education etc.），thereforeAIPart of the revenue generated should be returned to society。AILabor tax is the institutionalized answer to these two major propositions。</w:t>
      </w:r>
    </w:p>
    <w:p>
      <w:pPr>
        <w:pStyle w:val="BodyText"/>
      </w:pPr>
      <w:r>
        <w:rPr>
          <w:rFonts w:ascii="Arial" w:hAnsi="Arial" w:cs="Arial"/>
          <w:b/>
        </w:rPr>
        <w:t xml:space="preserve">2.2 tax rate formula</w:t>
      </w:r>
    </w:p>
    <w:p>
      <w:pPr>
        <w:pStyle w:val="BodyText"/>
      </w:pPr>
      <w:r>
        <w:rPr>
          <w:rFonts w:ascii="Arial" w:hAnsi="Arial" w:cs="Arial"/>
          <w:b/>
        </w:rPr>
        <w:t xml:space="preserve">2.2.1 complete formula</w:t>
      </w:r>
    </w:p>
    <w:p>
      <w:pPr>
        <w:pStyle w:val="BodyText"/>
      </w:pPr>
      <w:r>
        <w:rPr>
          <w:rFonts w:ascii="Arial" w:hAnsi="Arial" w:cs="Arial"/>
        </w:rPr>
        <w:t xml:space="preserve">AIThe complete calculation formula for labor tax is：</w:t>
      </w:r>
    </w:p>
    <w:p>
      <w:pPr>
        <w:pStyle w:val="BodyText"/>
      </w:pPr>
      <w:r>
        <w:rPr>
          <w:rFonts w:ascii="Arial" w:hAnsi="Arial" w:cs="Arial"/>
          <w:b/>
        </w:rPr>
        <w:t xml:space="preserve">T = Σ(WU_i × S_i × R_base × D_i)</w:t>
      </w:r>
    </w:p>
    <w:p>
      <w:pPr>
        <w:pStyle w:val="BodyText"/>
      </w:pPr>
      <w:r>
        <w:rPr>
          <w:rFonts w:ascii="Arial" w:hAnsi="Arial" w:cs="Arial"/>
        </w:rPr>
        <w:t xml:space="preserve">in：</w:t>
      </w:r>
    </w:p>
    <w:p>
      <w:pPr>
        <w:numPr>
          <w:ilvl w:val="0"/>
          <w:numId w:val="1003"/>
        </w:numPr>
      </w:pPr>
      <w:r>
        <w:rPr>
          <w:rFonts w:ascii="Arial" w:hAnsi="Arial" w:cs="Arial"/>
          <w:b/>
        </w:rPr>
        <w:t xml:space="preserve">T：</w:t>
      </w:r>
      <w:r>
        <w:rPr>
          <w:rFonts w:ascii="Arial" w:hAnsi="Arial" w:cs="Arial"/>
        </w:rPr>
        <w:t xml:space="preserve">dueAItotal labor tax</w:t>
      </w:r>
    </w:p>
    <w:p>
      <w:pPr>
        <w:numPr>
          <w:ilvl w:val="0"/>
          <w:numId w:val="1003"/>
        </w:numPr>
      </w:pPr>
      <w:r>
        <w:rPr>
          <w:rFonts w:ascii="Arial" w:hAnsi="Arial" w:cs="Arial"/>
          <w:b/>
        </w:rPr>
        <w:t xml:space="preserve">WU_i：</w:t>
      </w:r>
      <w:r>
        <w:rPr>
          <w:rFonts w:ascii="Arial" w:hAnsi="Arial" w:cs="Arial"/>
        </w:rPr>
        <w:t xml:space="preserve">No.iNumber of class work units（APINumber of calls/Computing power consumption/Number of automated tasks）</w:t>
      </w:r>
    </w:p>
    <w:p>
      <w:pPr>
        <w:numPr>
          <w:ilvl w:val="0"/>
          <w:numId w:val="1003"/>
        </w:numPr>
      </w:pPr>
      <w:r>
        <w:rPr>
          <w:rFonts w:ascii="Arial" w:hAnsi="Arial" w:cs="Arial"/>
          <w:b/>
        </w:rPr>
        <w:t xml:space="preserve">S_i：</w:t>
      </w:r>
      <w:r>
        <w:rPr>
          <w:rFonts w:ascii="Arial" w:hAnsi="Arial" w:cs="Arial"/>
        </w:rPr>
        <w:t xml:space="preserve">No.iJob replacement coefficient corresponding to the type of work unit（0.1~3.0）</w:t>
      </w:r>
    </w:p>
    <w:p>
      <w:pPr>
        <w:numPr>
          <w:ilvl w:val="0"/>
          <w:numId w:val="1003"/>
        </w:numPr>
      </w:pPr>
      <w:r>
        <w:rPr>
          <w:rFonts w:ascii="Arial" w:hAnsi="Arial" w:cs="Arial"/>
          <w:b/>
        </w:rPr>
        <w:t xml:space="preserve">R_base：</w:t>
      </w:r>
      <w:r>
        <w:rPr>
          <w:rFonts w:ascii="Arial" w:hAnsi="Arial" w:cs="Arial"/>
        </w:rPr>
        <w:t xml:space="preserve">basic tax rate（Set by popular vote，The scope of the Constitution is0.5%~5.0%）</w:t>
      </w:r>
    </w:p>
    <w:p>
      <w:pPr>
        <w:numPr>
          <w:ilvl w:val="0"/>
          <w:numId w:val="1003"/>
        </w:numPr>
      </w:pPr>
      <w:r>
        <w:rPr>
          <w:rFonts w:ascii="Arial" w:hAnsi="Arial" w:cs="Arial"/>
          <w:b/>
        </w:rPr>
        <w:t xml:space="preserve">D_i：</w:t>
      </w:r>
      <w:r>
        <w:rPr>
          <w:rFonts w:ascii="Arial" w:hAnsi="Arial" w:cs="Arial"/>
        </w:rPr>
        <w:t xml:space="preserve">regulator（Application coefficient of exemption rules such as halving for start-ups）</w:t>
      </w:r>
    </w:p>
    <w:p>
      <w:pPr>
        <w:pStyle w:val="FirstParagraph"/>
      </w:pPr>
      <w:r>
        <w:rPr>
          <w:rFonts w:ascii="Arial" w:hAnsi="Arial" w:cs="Arial"/>
          <w:b/>
        </w:rPr>
        <w:t xml:space="preserve">2.2.2 Work unit measurement</w:t>
      </w:r>
    </w:p>
    <w:p>
      <w:pPr>
        <w:pStyle w:val="BodyText"/>
      </w:pPr>
      <w:r>
        <w:rPr>
          <w:rFonts w:ascii="Arial" w:hAnsi="Arial" w:cs="Arial"/>
        </w:rPr>
        <w:t xml:space="preserve">work unit（Work Unit, WU）yesAIMeasurement basis of labor tax。different typesAIActivities correspond to different work unit types，Each type has clear measurement standards：</w:t>
      </w:r>
    </w:p>
    <w:tbl>
      <w:tblPr>
        <w:tblStyle w:val="Table"/>
        <w:tblW w:type="pct" w:w="5000.0"/>
        <w:tblLook w:firstRow="0"/>
      </w:tblPr>
      <w:tblGrid>
        <w:gridCol w:w="1566"/>
        <w:gridCol w:w="2698"/>
        <w:gridCol w:w="1218"/>
        <w:gridCol w:w="1218"/>
        <w:gridCol w:w="1218"/>
      </w:tblGrid>
      <w:tr>
        <w:tc>
          <w:p>
            <w:pPr>
              <w:pStyle w:val="Compact"/>
              <w:jc w:val="left"/>
            </w:pPr>
            <w:r>
              <w:rPr>
                <w:rFonts w:ascii="Arial" w:hAnsi="Arial" w:cs="Arial"/>
                <w:b/>
              </w:rPr>
              <w:t xml:space="preserve">Work Unit Type</w:t>
            </w:r>
          </w:p>
        </w:tc>
        <w:tc>
          <w:p>
            <w:pPr>
              <w:pStyle w:val="Compact"/>
              <w:jc w:val="left"/>
            </w:pPr>
            <w:r>
              <w:rPr>
                <w:rFonts w:ascii="Arial" w:hAnsi="Arial" w:cs="Arial"/>
                <w:b/>
              </w:rPr>
              <w:t xml:space="preserve">Measurement Standard</w:t>
            </w:r>
          </w:p>
        </w:tc>
        <w:tc>
          <w:p>
            <w:pPr>
              <w:pStyle w:val="Compact"/>
              <w:jc w:val="left"/>
            </w:pPr>
            <w:r>
              <w:rPr>
                <w:rFonts w:ascii="Arial" w:hAnsi="Arial" w:cs="Arial"/>
                <w:b/>
              </w:rPr>
              <w:t xml:space="preserve">Unit</w:t>
            </w:r>
          </w:p>
        </w:tc>
        <w:tc>
          <w:p>
            <w:pPr>
              <w:pStyle w:val="Compact"/>
              <w:jc w:val="left"/>
            </w:pPr>
            <w:r>
              <w:rPr>
                <w:rFonts w:ascii="Arial" w:hAnsi="Arial" w:cs="Arial"/>
                <w:b/>
              </w:rPr>
              <w:t xml:space="preserve">Data Source</w:t>
            </w:r>
          </w:p>
        </w:tc>
        <w:tc>
          <w:p>
            <w:pPr>
              <w:pStyle w:val="Compact"/>
              <w:jc w:val="left"/>
            </w:pPr>
            <w:r>
              <w:rPr>
                <w:rFonts w:ascii="Arial" w:hAnsi="Arial" w:cs="Arial"/>
                <w:b/>
              </w:rPr>
              <w:t xml:space="preserve">Verification Method</w:t>
            </w:r>
          </w:p>
        </w:tc>
      </w:tr>
      <w:tr>
        <w:tc>
          <w:p>
            <w:pPr>
              <w:pStyle w:val="Compact"/>
              <w:jc w:val="left"/>
            </w:pPr>
            <w:r>
              <w:rPr>
                <w:rFonts w:ascii="Arial" w:hAnsi="Arial" w:cs="Arial"/>
              </w:rPr>
              <w:t xml:space="preserve">API Calls</w:t>
            </w:r>
          </w:p>
        </w:tc>
        <w:tc>
          <w:p>
            <w:pPr>
              <w:pStyle w:val="Compact"/>
              <w:jc w:val="left"/>
            </w:pPr>
            <w:r>
              <w:rPr>
                <w:rFonts w:ascii="Arial" w:hAnsi="Arial" w:cs="Arial"/>
              </w:rPr>
              <w:t xml:space="preserve">Each successful API call counts as 1 WU</w:t>
            </w:r>
          </w:p>
        </w:tc>
        <w:tc>
          <w:p>
            <w:pPr>
              <w:pStyle w:val="Compact"/>
              <w:jc w:val="left"/>
            </w:pPr>
            <w:r>
              <w:rPr>
                <w:rFonts w:ascii="Arial" w:hAnsi="Arial" w:cs="Arial"/>
              </w:rPr>
              <w:t xml:space="preserve">Call count</w:t>
            </w:r>
          </w:p>
        </w:tc>
        <w:tc>
          <w:p>
            <w:pPr>
              <w:pStyle w:val="Compact"/>
              <w:jc w:val="left"/>
            </w:pPr>
            <w:r>
              <w:rPr>
                <w:rFonts w:ascii="Arial" w:hAnsi="Arial" w:cs="Arial"/>
              </w:rPr>
              <w:t xml:space="preserve">Gateway logs</w:t>
            </w:r>
          </w:p>
        </w:tc>
        <w:tc>
          <w:p>
            <w:pPr>
              <w:pStyle w:val="Compact"/>
              <w:jc w:val="left"/>
            </w:pPr>
            <w:r>
              <w:rPr>
                <w:rFonts w:ascii="Arial" w:hAnsi="Arial" w:cs="Arial"/>
              </w:rPr>
              <w:t xml:space="preserve">Gateway signature verification</w:t>
            </w:r>
          </w:p>
        </w:tc>
      </w:tr>
      <w:tr>
        <w:tc>
          <w:p>
            <w:pPr>
              <w:pStyle w:val="Compact"/>
              <w:jc w:val="left"/>
            </w:pPr>
            <w:r>
              <w:rPr>
                <w:rFonts w:ascii="Arial" w:hAnsi="Arial" w:cs="Arial"/>
              </w:rPr>
              <w:t xml:space="preserve">Computing consumption</w:t>
            </w:r>
          </w:p>
        </w:tc>
        <w:tc>
          <w:p>
            <w:pPr>
              <w:pStyle w:val="Compact"/>
              <w:jc w:val="left"/>
            </w:pPr>
            <w:r>
              <w:rPr>
                <w:rFonts w:ascii="Arial" w:hAnsi="Arial" w:cs="Arial"/>
              </w:rPr>
              <w:t xml:space="preserve">Per 100 GPU hours counts as 1 WU</w:t>
            </w:r>
          </w:p>
        </w:tc>
        <w:tc>
          <w:p>
            <w:pPr>
              <w:pStyle w:val="Compact"/>
              <w:jc w:val="left"/>
            </w:pPr>
            <w:r>
              <w:rPr>
                <w:rFonts w:ascii="Arial" w:hAnsi="Arial" w:cs="Arial"/>
              </w:rPr>
              <w:t xml:space="preserve">GPU hours/100</w:t>
            </w:r>
          </w:p>
        </w:tc>
        <w:tc>
          <w:p>
            <w:pPr>
              <w:pStyle w:val="Compact"/>
              <w:jc w:val="left"/>
            </w:pPr>
            <w:r>
              <w:rPr>
                <w:rFonts w:ascii="Arial" w:hAnsi="Arial" w:cs="Arial"/>
              </w:rPr>
              <w:t xml:space="preserve">Computing monitoring</w:t>
            </w:r>
          </w:p>
        </w:tc>
        <w:tc>
          <w:p>
            <w:pPr>
              <w:pStyle w:val="Compact"/>
              <w:jc w:val="left"/>
            </w:pPr>
            <w:r>
              <w:rPr>
                <w:rFonts w:ascii="Arial" w:hAnsi="Arial" w:cs="Arial"/>
              </w:rPr>
              <w:t xml:space="preserve">Hardware trusted measurement</w:t>
            </w:r>
          </w:p>
        </w:tc>
      </w:tr>
      <w:tr>
        <w:tc>
          <w:p>
            <w:pPr>
              <w:pStyle w:val="Compact"/>
              <w:jc w:val="left"/>
            </w:pPr>
            <w:r>
              <w:rPr>
                <w:rFonts w:ascii="Arial" w:hAnsi="Arial" w:cs="Arial"/>
              </w:rPr>
              <w:t xml:space="preserve">Automated tasks</w:t>
            </w:r>
          </w:p>
        </w:tc>
        <w:tc>
          <w:p>
            <w:pPr>
              <w:pStyle w:val="Compact"/>
              <w:jc w:val="left"/>
            </w:pPr>
            <w:r>
              <w:rPr>
                <w:rFonts w:ascii="Arial" w:hAnsi="Arial" w:cs="Arial"/>
              </w:rPr>
              <w:t xml:space="preserve">Each completed automated task counts as 1 WU</w:t>
            </w:r>
          </w:p>
        </w:tc>
        <w:tc>
          <w:p>
            <w:pPr>
              <w:pStyle w:val="Compact"/>
              <w:jc w:val="left"/>
            </w:pPr>
            <w:r>
              <w:rPr>
                <w:rFonts w:ascii="Arial" w:hAnsi="Arial" w:cs="Arial"/>
              </w:rPr>
              <w:t xml:space="preserve">Task count</w:t>
            </w:r>
          </w:p>
        </w:tc>
        <w:tc>
          <w:p>
            <w:pPr>
              <w:pStyle w:val="Compact"/>
              <w:jc w:val="left"/>
            </w:pPr>
            <w:r>
              <w:rPr>
                <w:rFonts w:ascii="Arial" w:hAnsi="Arial" w:cs="Arial"/>
              </w:rPr>
              <w:t xml:space="preserve">Task scheduler</w:t>
            </w:r>
          </w:p>
        </w:tc>
        <w:tc>
          <w:p>
            <w:pPr>
              <w:pStyle w:val="Compact"/>
              <w:jc w:val="left"/>
            </w:pPr>
            <w:r>
              <w:rPr>
                <w:rFonts w:ascii="Arial" w:hAnsi="Arial" w:cs="Arial"/>
              </w:rPr>
              <w:t xml:space="preserve">Task hash verification</w:t>
            </w:r>
          </w:p>
        </w:tc>
      </w:tr>
      <w:tr>
        <w:tc>
          <w:p>
            <w:pPr>
              <w:pStyle w:val="Compact"/>
              <w:jc w:val="left"/>
            </w:pPr>
            <w:r>
              <w:rPr>
                <w:rFonts w:ascii="Arial" w:hAnsi="Arial" w:cs="Arial"/>
              </w:rPr>
              <w:t xml:space="preserve">Data processing</w:t>
            </w:r>
          </w:p>
        </w:tc>
        <w:tc>
          <w:p>
            <w:pPr>
              <w:pStyle w:val="Compact"/>
              <w:jc w:val="left"/>
            </w:pPr>
            <w:r>
              <w:rPr>
                <w:rFonts w:ascii="Arial" w:hAnsi="Arial" w:cs="Arial"/>
              </w:rPr>
              <w:t xml:space="preserve">Per TB of processed data counts as 1 WU</w:t>
            </w:r>
          </w:p>
        </w:tc>
        <w:tc>
          <w:p>
            <w:pPr>
              <w:pStyle w:val="Compact"/>
              <w:jc w:val="left"/>
            </w:pPr>
            <w:r>
              <w:rPr>
                <w:rFonts w:ascii="Arial" w:hAnsi="Arial" w:cs="Arial"/>
              </w:rPr>
              <w:t xml:space="preserve">TB</w:t>
            </w:r>
          </w:p>
        </w:tc>
        <w:tc>
          <w:p>
            <w:pPr>
              <w:pStyle w:val="Compact"/>
              <w:jc w:val="left"/>
            </w:pPr>
            <w:r>
              <w:rPr>
                <w:rFonts w:ascii="Arial" w:hAnsi="Arial" w:cs="Arial"/>
              </w:rPr>
              <w:t xml:space="preserve">Data pipeline</w:t>
            </w:r>
          </w:p>
        </w:tc>
        <w:tc>
          <w:p>
            <w:pPr>
              <w:pStyle w:val="Compact"/>
              <w:jc w:val="left"/>
            </w:pPr>
            <w:r>
              <w:rPr>
                <w:rFonts w:ascii="Arial" w:hAnsi="Arial" w:cs="Arial"/>
              </w:rPr>
              <w:t xml:space="preserve">Data lineage tracking</w:t>
            </w:r>
          </w:p>
        </w:tc>
      </w:tr>
      <w:tr>
        <w:tc>
          <w:p>
            <w:pPr>
              <w:pStyle w:val="Compact"/>
              <w:jc w:val="left"/>
            </w:pPr>
            <w:r>
              <w:rPr>
                <w:rFonts w:ascii="Arial" w:hAnsi="Arial" w:cs="Arial"/>
              </w:rPr>
              <w:t xml:space="preserve">Decision execution</w:t>
            </w:r>
          </w:p>
        </w:tc>
        <w:tc>
          <w:p>
            <w:pPr>
              <w:pStyle w:val="Compact"/>
              <w:jc w:val="left"/>
            </w:pPr>
            <w:r>
              <w:rPr>
                <w:rFonts w:ascii="Arial" w:hAnsi="Arial" w:cs="Arial"/>
              </w:rPr>
              <w:t xml:space="preserve">Each AI decision execution counts as 0.5 WU</w:t>
            </w:r>
          </w:p>
        </w:tc>
        <w:tc>
          <w:p>
            <w:pPr>
              <w:pStyle w:val="Compact"/>
              <w:jc w:val="left"/>
            </w:pPr>
            <w:r>
              <w:rPr>
                <w:rFonts w:ascii="Arial" w:hAnsi="Arial" w:cs="Arial"/>
              </w:rPr>
              <w:t xml:space="preserve">Decision count/2</w:t>
            </w:r>
          </w:p>
        </w:tc>
        <w:tc>
          <w:p>
            <w:pPr>
              <w:pStyle w:val="Compact"/>
              <w:jc w:val="left"/>
            </w:pPr>
            <w:r>
              <w:rPr>
                <w:rFonts w:ascii="Arial" w:hAnsi="Arial" w:cs="Arial"/>
              </w:rPr>
              <w:t xml:space="preserve">Decision engine</w:t>
            </w:r>
          </w:p>
        </w:tc>
        <w:tc>
          <w:p>
            <w:pPr>
              <w:pStyle w:val="Compact"/>
              <w:jc w:val="left"/>
            </w:pPr>
            <w:r>
              <w:rPr>
                <w:rFonts w:ascii="Arial" w:hAnsi="Arial" w:cs="Arial"/>
              </w:rPr>
              <w:t xml:space="preserve">Decision log verification</w:t>
            </w:r>
          </w:p>
        </w:tc>
      </w:tr>
    </w:tbl>
    <w:p>
      <w:pPr>
        <w:pStyle w:val="BodyText"/>
      </w:pPr>
      <w:r>
        <w:rPr>
          <w:rFonts w:ascii="Arial" w:hAnsi="Arial" w:cs="Arial"/>
        </w:rPr>
        <w:t>The measurement data of the work unit is passed through“trustworthiness”Mechanism to ensure authenticity：APIgateway、Data sources such as computing power monitoring use hardware trustworthy measurement modules（TPM），Data is signed and uploaded to the chain，Any tampering will be detected。The metering system generates daily work unit reports，throughAIThe audit module cross-validates it as the basis for tax calculation.。</w:t>
      </w:r>
    </w:p>
    <w:p>
      <w:pPr>
        <w:pStyle w:val="BodyText"/>
      </w:pPr>
      <w:r>
        <w:rPr>
          <w:rFonts w:ascii="Arial" w:hAnsi="Arial" w:cs="Arial"/>
          <w:b/>
        </w:rPr>
        <w:t xml:space="preserve">2.2.3 job substitution coefficient</w:t>
      </w:r>
    </w:p>
    <w:p>
      <w:pPr>
        <w:pStyle w:val="BodyText"/>
      </w:pPr>
      <w:r>
        <w:rPr>
          <w:rFonts w:ascii="Arial" w:hAnsi="Arial" w:cs="Arial"/>
        </w:rPr>
        <w:t>job substitution coefficient（Substitution Factor, S）reflectAIThe extent to which human labor is replaced in a specific industry。The higher the coefficient，Describe the industryAIPenetrate deeper，AIlaboring“social cost”The bigger，Therefore, the higher the tax rate。</w:t>
      </w:r>
    </w:p>
    <w:tbl>
      <w:tblPr>
        <w:tblStyle w:val="Table"/>
        <w:tblW w:type="pct" w:w="5000.0"/>
        <w:tblLook w:firstRow="0"/>
      </w:tblPr>
      <w:tblGrid>
        <w:gridCol w:w="1458"/>
        <w:gridCol w:w="1458"/>
        <w:gridCol w:w="1563"/>
        <w:gridCol w:w="1458"/>
        <w:gridCol w:w="1980"/>
      </w:tblGrid>
      <w:tr>
        <w:tc>
          <w:p>
            <w:pPr>
              <w:pStyle w:val="Compact"/>
              <w:jc w:val="left"/>
            </w:pPr>
            <w:r>
              <w:rPr>
                <w:rFonts w:ascii="Arial" w:hAnsi="Arial" w:cs="Arial"/>
                <w:b/>
              </w:rPr>
              <w:t xml:space="preserve">Industry Category</w:t>
            </w:r>
          </w:p>
        </w:tc>
        <w:tc>
          <w:p>
            <w:pPr>
              <w:pStyle w:val="Compact"/>
              <w:jc w:val="left"/>
            </w:pPr>
            <w:r>
              <w:rPr>
                <w:rFonts w:ascii="Arial" w:hAnsi="Arial" w:cs="Arial"/>
                <w:b/>
              </w:rPr>
              <w:t xml:space="preserve">AI Penetration Rate</w:t>
            </w:r>
          </w:p>
        </w:tc>
        <w:tc>
          <w:p>
            <w:pPr>
              <w:pStyle w:val="Compact"/>
              <w:jc w:val="left"/>
            </w:pPr>
            <w:r>
              <w:rPr>
                <w:rFonts w:ascii="Arial" w:hAnsi="Arial" w:cs="Arial"/>
                <w:b/>
              </w:rPr>
              <w:t xml:space="preserve">Substitution Factor S</w:t>
            </w:r>
          </w:p>
        </w:tc>
        <w:tc>
          <w:p>
            <w:pPr>
              <w:pStyle w:val="Compact"/>
              <w:jc w:val="left"/>
            </w:pPr>
            <w:r>
              <w:rPr>
                <w:rFonts w:ascii="Arial" w:hAnsi="Arial" w:cs="Arial"/>
                <w:b/>
              </w:rPr>
              <w:t xml:space="preserve">Update Frequency</w:t>
            </w:r>
          </w:p>
        </w:tc>
        <w:tc>
          <w:p>
            <w:pPr>
              <w:pStyle w:val="Compact"/>
              <w:jc w:val="left"/>
            </w:pPr>
            <w:r>
              <w:rPr>
                <w:rFonts w:ascii="Arial" w:hAnsi="Arial" w:cs="Arial"/>
                <w:b/>
              </w:rPr>
              <w:t xml:space="preserve">Data Source</w:t>
            </w:r>
          </w:p>
        </w:tc>
      </w:tr>
      <w:tr>
        <w:tc>
          <w:p>
            <w:pPr>
              <w:pStyle w:val="Compact"/>
              <w:jc w:val="left"/>
            </w:pPr>
            <w:r>
              <w:rPr>
                <w:rFonts w:ascii="Arial" w:hAnsi="Arial" w:cs="Arial"/>
              </w:rPr>
              <w:t xml:space="preserve">Finance and Insurance</w:t>
            </w:r>
          </w:p>
        </w:tc>
        <w:tc>
          <w:p>
            <w:pPr>
              <w:pStyle w:val="Compact"/>
              <w:jc w:val="left"/>
            </w:pPr>
            <w:r>
              <w:rPr>
                <w:rFonts w:ascii="Arial" w:hAnsi="Arial" w:cs="Arial"/>
              </w:rPr>
              <w:t xml:space="preserve">&gt;80%</w:t>
            </w:r>
          </w:p>
        </w:tc>
        <w:tc>
          <w:p>
            <w:pPr>
              <w:pStyle w:val="Compact"/>
              <w:jc w:val="left"/>
            </w:pPr>
            <w:r>
              <w:rPr>
                <w:rFonts w:ascii="Arial" w:hAnsi="Arial" w:cs="Arial"/>
              </w:rPr>
              <w:t xml:space="preserve">2.8</w:t>
            </w:r>
          </w:p>
        </w:tc>
        <w:tc>
          <w:p>
            <w:pPr>
              <w:pStyle w:val="Compact"/>
              <w:jc w:val="left"/>
            </w:pPr>
            <w:r>
              <w:rPr>
                <w:rFonts w:ascii="Arial" w:hAnsi="Arial" w:cs="Arial"/>
              </w:rPr>
              <w:t xml:space="preserve">Quarterly</w:t>
            </w:r>
          </w:p>
        </w:tc>
        <w:tc>
          <w:p>
            <w:pPr>
              <w:pStyle w:val="Compact"/>
              <w:jc w:val="left"/>
            </w:pPr>
            <w:r>
              <w:rPr>
                <w:rFonts w:ascii="Arial" w:hAnsi="Arial" w:cs="Arial"/>
              </w:rPr>
              <w:t xml:space="preserve">Industry regulatory data</w:t>
            </w:r>
          </w:p>
        </w:tc>
      </w:tr>
      <w:tr>
        <w:tc>
          <w:p>
            <w:pPr>
              <w:pStyle w:val="Compact"/>
              <w:jc w:val="left"/>
            </w:pPr>
            <w:r>
              <w:rPr>
                <w:rFonts w:ascii="Arial" w:hAnsi="Arial" w:cs="Arial"/>
              </w:rPr>
              <w:t xml:space="preserve">Customer Service</w:t>
            </w:r>
          </w:p>
        </w:tc>
        <w:tc>
          <w:p>
            <w:pPr>
              <w:pStyle w:val="Compact"/>
              <w:jc w:val="left"/>
            </w:pPr>
            <w:r>
              <w:rPr>
                <w:rFonts w:ascii="Arial" w:hAnsi="Arial" w:cs="Arial"/>
              </w:rPr>
              <w:t xml:space="preserve">70%-80%</w:t>
            </w:r>
          </w:p>
        </w:tc>
        <w:tc>
          <w:p>
            <w:pPr>
              <w:pStyle w:val="Compact"/>
              <w:jc w:val="left"/>
            </w:pPr>
            <w:r>
              <w:rPr>
                <w:rFonts w:ascii="Arial" w:hAnsi="Arial" w:cs="Arial"/>
              </w:rPr>
              <w:t xml:space="preserve">2.4</w:t>
            </w:r>
          </w:p>
        </w:tc>
        <w:tc>
          <w:p>
            <w:pPr>
              <w:pStyle w:val="Compact"/>
              <w:jc w:val="left"/>
            </w:pPr>
            <w:r>
              <w:rPr>
                <w:rFonts w:ascii="Arial" w:hAnsi="Arial" w:cs="Arial"/>
              </w:rPr>
              <w:t xml:space="preserve">Quarterly</w:t>
            </w:r>
          </w:p>
        </w:tc>
        <w:tc>
          <w:p>
            <w:pPr>
              <w:pStyle w:val="Compact"/>
              <w:jc w:val="left"/>
            </w:pPr>
            <w:r>
              <w:rPr>
                <w:rFonts w:ascii="Arial" w:hAnsi="Arial" w:cs="Arial"/>
              </w:rPr>
              <w:t xml:space="preserve">Corporate reports + sampling surveys</w:t>
            </w:r>
          </w:p>
        </w:tc>
      </w:tr>
      <w:tr>
        <w:tc>
          <w:p>
            <w:pPr>
              <w:pStyle w:val="Compact"/>
              <w:jc w:val="left"/>
            </w:pPr>
            <w:r>
              <w:rPr>
                <w:rFonts w:ascii="Arial" w:hAnsi="Arial" w:cs="Arial"/>
              </w:rPr>
              <w:t xml:space="preserve">Logistics and Transportation</w:t>
            </w:r>
          </w:p>
        </w:tc>
        <w:tc>
          <w:p>
            <w:pPr>
              <w:pStyle w:val="Compact"/>
              <w:jc w:val="left"/>
            </w:pPr>
            <w:r>
              <w:rPr>
                <w:rFonts w:ascii="Arial" w:hAnsi="Arial" w:cs="Arial"/>
              </w:rPr>
              <w:t xml:space="preserve">60%-70%</w:t>
            </w:r>
          </w:p>
        </w:tc>
        <w:tc>
          <w:p>
            <w:pPr>
              <w:pStyle w:val="Compact"/>
              <w:jc w:val="left"/>
            </w:pPr>
            <w:r>
              <w:rPr>
                <w:rFonts w:ascii="Arial" w:hAnsi="Arial" w:cs="Arial"/>
              </w:rPr>
              <w:t xml:space="preserve">2.0</w:t>
            </w:r>
          </w:p>
        </w:tc>
        <w:tc>
          <w:p>
            <w:pPr>
              <w:pStyle w:val="Compact"/>
              <w:jc w:val="left"/>
            </w:pPr>
            <w:r>
              <w:rPr>
                <w:rFonts w:ascii="Arial" w:hAnsi="Arial" w:cs="Arial"/>
              </w:rPr>
              <w:t xml:space="preserve">Quarterly</w:t>
            </w:r>
          </w:p>
        </w:tc>
        <w:tc>
          <w:p>
            <w:pPr>
              <w:pStyle w:val="Compact"/>
              <w:jc w:val="left"/>
            </w:pPr>
            <w:r>
              <w:rPr>
                <w:rFonts w:ascii="Arial" w:hAnsi="Arial" w:cs="Arial"/>
              </w:rPr>
              <w:t xml:space="preserve">Logistics platform data</w:t>
            </w:r>
          </w:p>
        </w:tc>
      </w:tr>
      <w:tr>
        <w:tc>
          <w:p>
            <w:pPr>
              <w:pStyle w:val="Compact"/>
              <w:jc w:val="left"/>
            </w:pPr>
            <w:r>
              <w:rPr>
                <w:rFonts w:ascii="Arial" w:hAnsi="Arial" w:cs="Arial"/>
              </w:rPr>
              <w:t xml:space="preserve">Manufacturing</w:t>
            </w:r>
          </w:p>
        </w:tc>
        <w:tc>
          <w:p>
            <w:pPr>
              <w:pStyle w:val="Compact"/>
              <w:jc w:val="left"/>
            </w:pPr>
            <w:r>
              <w:rPr>
                <w:rFonts w:ascii="Arial" w:hAnsi="Arial" w:cs="Arial"/>
              </w:rPr>
              <w:t xml:space="preserve">50%-60%</w:t>
            </w:r>
          </w:p>
        </w:tc>
        <w:tc>
          <w:p>
            <w:pPr>
              <w:pStyle w:val="Compact"/>
              <w:jc w:val="left"/>
            </w:pPr>
            <w:r>
              <w:rPr>
                <w:rFonts w:ascii="Arial" w:hAnsi="Arial" w:cs="Arial"/>
              </w:rPr>
              <w:t xml:space="preserve">1.6</w:t>
            </w:r>
          </w:p>
        </w:tc>
        <w:tc>
          <w:p>
            <w:pPr>
              <w:pStyle w:val="Compact"/>
              <w:jc w:val="left"/>
            </w:pPr>
            <w:r>
              <w:rPr>
                <w:rFonts w:ascii="Arial" w:hAnsi="Arial" w:cs="Arial"/>
              </w:rPr>
              <w:t xml:space="preserve">Quarterly</w:t>
            </w:r>
          </w:p>
        </w:tc>
        <w:tc>
          <w:p>
            <w:pPr>
              <w:pStyle w:val="Compact"/>
              <w:jc w:val="left"/>
            </w:pPr>
            <w:r>
              <w:rPr>
                <w:rFonts w:ascii="Arial" w:hAnsi="Arial" w:cs="Arial"/>
              </w:rPr>
              <w:t xml:space="preserve">Factory IoT data</w:t>
            </w:r>
          </w:p>
        </w:tc>
      </w:tr>
      <w:tr>
        <w:tc>
          <w:p>
            <w:pPr>
              <w:pStyle w:val="Compact"/>
              <w:jc w:val="left"/>
            </w:pPr>
            <w:r>
              <w:rPr>
                <w:rFonts w:ascii="Arial" w:hAnsi="Arial" w:cs="Arial"/>
              </w:rPr>
              <w:t xml:space="preserve">Healthcare</w:t>
            </w:r>
          </w:p>
        </w:tc>
        <w:tc>
          <w:p>
            <w:pPr>
              <w:pStyle w:val="Compact"/>
              <w:jc w:val="left"/>
            </w:pPr>
            <w:r>
              <w:rPr>
                <w:rFonts w:ascii="Arial" w:hAnsi="Arial" w:cs="Arial"/>
              </w:rPr>
              <w:t xml:space="preserve">30%-50%</w:t>
            </w:r>
          </w:p>
        </w:tc>
        <w:tc>
          <w:p>
            <w:pPr>
              <w:pStyle w:val="Compact"/>
              <w:jc w:val="left"/>
            </w:pPr>
            <w:r>
              <w:rPr>
                <w:rFonts w:ascii="Arial" w:hAnsi="Arial" w:cs="Arial"/>
              </w:rPr>
              <w:t xml:space="preserve">1.2</w:t>
            </w:r>
          </w:p>
        </w:tc>
        <w:tc>
          <w:p>
            <w:pPr>
              <w:pStyle w:val="Compact"/>
              <w:jc w:val="left"/>
            </w:pPr>
            <w:r>
              <w:rPr>
                <w:rFonts w:ascii="Arial" w:hAnsi="Arial" w:cs="Arial"/>
              </w:rPr>
              <w:t xml:space="preserve">Quarterly</w:t>
            </w:r>
          </w:p>
        </w:tc>
        <w:tc>
          <w:p>
            <w:pPr>
              <w:pStyle w:val="Compact"/>
              <w:jc w:val="left"/>
            </w:pPr>
            <w:r>
              <w:rPr>
                <w:rFonts w:ascii="Arial" w:hAnsi="Arial" w:cs="Arial"/>
              </w:rPr>
              <w:t xml:space="preserve">Hospital information systems</w:t>
            </w:r>
          </w:p>
        </w:tc>
      </w:tr>
      <w:tr>
        <w:tc>
          <w:p>
            <w:pPr>
              <w:pStyle w:val="Compact"/>
              <w:jc w:val="left"/>
            </w:pPr>
            <w:r>
              <w:rPr>
                <w:rFonts w:ascii="Arial" w:hAnsi="Arial" w:cs="Arial"/>
              </w:rPr>
              <w:t xml:space="preserve">Education</w:t>
            </w:r>
          </w:p>
        </w:tc>
        <w:tc>
          <w:p>
            <w:pPr>
              <w:pStyle w:val="Compact"/>
              <w:jc w:val="left"/>
            </w:pPr>
            <w:r>
              <w:rPr>
                <w:rFonts w:ascii="Arial" w:hAnsi="Arial" w:cs="Arial"/>
              </w:rPr>
              <w:t xml:space="preserve">20%-30%</w:t>
            </w:r>
          </w:p>
        </w:tc>
        <w:tc>
          <w:p>
            <w:pPr>
              <w:pStyle w:val="Compact"/>
              <w:jc w:val="left"/>
            </w:pPr>
            <w:r>
              <w:rPr>
                <w:rFonts w:ascii="Arial" w:hAnsi="Arial" w:cs="Arial"/>
              </w:rPr>
              <w:t xml:space="preserve">0.8</w:t>
            </w:r>
          </w:p>
        </w:tc>
        <w:tc>
          <w:p>
            <w:pPr>
              <w:pStyle w:val="Compact"/>
              <w:jc w:val="left"/>
            </w:pPr>
            <w:r>
              <w:rPr>
                <w:rFonts w:ascii="Arial" w:hAnsi="Arial" w:cs="Arial"/>
              </w:rPr>
              <w:t xml:space="preserve">Quarterly</w:t>
            </w:r>
          </w:p>
        </w:tc>
        <w:tc>
          <w:p>
            <w:pPr>
              <w:pStyle w:val="Compact"/>
              <w:jc w:val="left"/>
            </w:pPr>
            <w:r>
              <w:rPr>
                <w:rFonts w:ascii="Arial" w:hAnsi="Arial" w:cs="Arial"/>
              </w:rPr>
              <w:t xml:space="preserve">Education platform data</w:t>
            </w:r>
          </w:p>
        </w:tc>
      </w:tr>
      <w:tr>
        <w:tc>
          <w:p>
            <w:pPr>
              <w:pStyle w:val="Compact"/>
              <w:jc w:val="left"/>
            </w:pPr>
            <w:r>
              <w:rPr>
                <w:rFonts w:ascii="Arial" w:hAnsi="Arial" w:cs="Arial"/>
              </w:rPr>
              <w:t xml:space="preserve">Creative Industries</w:t>
            </w:r>
          </w:p>
        </w:tc>
        <w:tc>
          <w:p>
            <w:pPr>
              <w:pStyle w:val="Compact"/>
              <w:jc w:val="left"/>
            </w:pPr>
            <w:r>
              <w:rPr>
                <w:rFonts w:ascii="Arial" w:hAnsi="Arial" w:cs="Arial"/>
              </w:rPr>
              <w:t xml:space="preserve">10%-20%</w:t>
            </w:r>
          </w:p>
        </w:tc>
        <w:tc>
          <w:p>
            <w:pPr>
              <w:pStyle w:val="Compact"/>
              <w:jc w:val="left"/>
            </w:pPr>
            <w:r>
              <w:rPr>
                <w:rFonts w:ascii="Arial" w:hAnsi="Arial" w:cs="Arial"/>
              </w:rPr>
              <w:t xml:space="preserve">0.4</w:t>
            </w:r>
          </w:p>
        </w:tc>
        <w:tc>
          <w:p>
            <w:pPr>
              <w:pStyle w:val="Compact"/>
              <w:jc w:val="left"/>
            </w:pPr>
            <w:r>
              <w:rPr>
                <w:rFonts w:ascii="Arial" w:hAnsi="Arial" w:cs="Arial"/>
              </w:rPr>
              <w:t xml:space="preserve">Quarterly</w:t>
            </w:r>
          </w:p>
        </w:tc>
        <w:tc>
          <w:p>
            <w:pPr>
              <w:pStyle w:val="Compact"/>
              <w:jc w:val="left"/>
            </w:pPr>
            <w:r>
              <w:rPr>
                <w:rFonts w:ascii="Arial" w:hAnsi="Arial" w:cs="Arial"/>
              </w:rPr>
              <w:t xml:space="preserve">Creator platform data</w:t>
            </w:r>
          </w:p>
        </w:tc>
      </w:tr>
      <w:tr>
        <w:tc>
          <w:p>
            <w:pPr>
              <w:pStyle w:val="Compact"/>
              <w:jc w:val="left"/>
            </w:pPr>
            <w:r>
              <w:rPr>
                <w:rFonts w:ascii="Arial" w:hAnsi="Arial" w:cs="Arial"/>
              </w:rPr>
              <w:t xml:space="preserve">Government Services</w:t>
            </w:r>
          </w:p>
        </w:tc>
        <w:tc>
          <w:p>
            <w:pPr>
              <w:pStyle w:val="Compact"/>
              <w:jc w:val="left"/>
            </w:pPr>
            <w:r>
              <w:rPr>
                <w:rFonts w:ascii="Arial" w:hAnsi="Arial" w:cs="Arial"/>
              </w:rPr>
              <w:t xml:space="preserve">5%-15%</w:t>
            </w:r>
          </w:p>
        </w:tc>
        <w:tc>
          <w:p>
            <w:pPr>
              <w:pStyle w:val="Compact"/>
              <w:jc w:val="left"/>
            </w:pPr>
            <w:r>
              <w:rPr>
                <w:rFonts w:ascii="Arial" w:hAnsi="Arial" w:cs="Arial"/>
              </w:rPr>
              <w:t xml:space="preserve">0.2</w:t>
            </w:r>
          </w:p>
        </w:tc>
        <w:tc>
          <w:p>
            <w:pPr>
              <w:pStyle w:val="Compact"/>
              <w:jc w:val="left"/>
            </w:pPr>
            <w:r>
              <w:rPr>
                <w:rFonts w:ascii="Arial" w:hAnsi="Arial" w:cs="Arial"/>
              </w:rPr>
              <w:t xml:space="preserve">Quarterly</w:t>
            </w:r>
          </w:p>
        </w:tc>
        <w:tc>
          <w:p>
            <w:pPr>
              <w:pStyle w:val="Compact"/>
              <w:jc w:val="left"/>
            </w:pPr>
            <w:r>
              <w:rPr>
                <w:rFonts w:ascii="Arial" w:hAnsi="Arial" w:cs="Arial"/>
              </w:rPr>
              <w:t xml:space="preserve">Government system data</w:t>
            </w:r>
          </w:p>
        </w:tc>
      </w:tr>
    </w:tbl>
    <w:p>
      <w:pPr>
        <w:pStyle w:val="BodyText"/>
      </w:pPr>
      <w:r>
        <w:rPr>
          <w:rFonts w:ascii="Arial" w:hAnsi="Arial" w:cs="Arial"/>
        </w:rPr>
        <w:t xml:space="preserve">The replacement coefficient each quarter is given byAIThe economic analysis module is dynamically updated based on the following data sources：Industry employment change rate、AIDeployment Density Survey、Changes in labor productivity、Changes in salary levels。The updated coefficient must be reviewed and confirmed by the Economic Committee of the Senate before it can take effect.，The review period does not exceed5working days。</w:t>
      </w:r>
    </w:p>
    <w:p>
      <w:pPr>
        <w:pStyle w:val="BodyText"/>
      </w:pPr>
      <w:r>
        <w:rPr>
          <w:rFonts w:ascii="Arial" w:hAnsi="Arial" w:cs="Arial"/>
          <w:b/>
        </w:rPr>
        <w:t xml:space="preserve">2.2.4 basic tax rate</w:t>
      </w:r>
    </w:p>
    <w:p>
      <w:pPr>
        <w:pStyle w:val="BodyText"/>
      </w:pPr>
      <w:r>
        <w:rPr>
          <w:rFonts w:ascii="Arial" w:hAnsi="Arial" w:cs="Arial"/>
        </w:rPr>
        <w:t xml:space="preserve">basic tax rate（R_base）yesAIThe most democratic parameters of the labor tax system，Directly set by referendum。The constitution stipulates the upper and lower limits：lower limit0.5%make sureAIUsers assume minimum social responsibility，upper limit5.0%Prevent over-inhibitionAIInnovation and Application。Votes on adjustments to the basic tax rate are held every two years，Simultaneous with the city’s major public decision-making votes。</w:t>
      </w:r>
    </w:p>
    <w:p>
      <w:pPr>
        <w:pStyle w:val="BodyText"/>
      </w:pPr>
      <w:r>
        <w:rPr>
          <w:rFonts w:ascii="Arial" w:hAnsi="Arial" w:cs="Arial"/>
        </w:rPr>
        <w:t>Vote to adopt“range voting”（Range Voting）mechanism：every citizen in0.5%-5.0%Choose the basic tax rate you think is appropriate within the range，Finally, the median of all votes is taken as the result。Choose median instead of mean，This is to avoid extreme voting from distorting the results.。before voting，AIThe system will release a simulation report on the impact of different tax rate plans.，Help citizens make informed choices。</w:t>
      </w:r>
    </w:p>
    <w:p>
      <w:pPr>
        <w:pStyle w:val="BodyText"/>
      </w:pPr>
      <w:r>
        <w:rPr>
          <w:rFonts w:ascii="Arial" w:hAnsi="Arial" w:cs="Arial"/>
          <w:b/>
        </w:rPr>
        <w:t xml:space="preserve">2.2.5 exemption rules</w:t>
      </w:r>
    </w:p>
    <w:p>
      <w:pPr>
        <w:pStyle w:val="BodyText"/>
      </w:pPr>
      <w:r>
        <w:rPr>
          <w:rFonts w:ascii="Arial" w:hAnsi="Arial" w:cs="Arial"/>
        </w:rPr>
        <w:t>The exemption rules aim to balance“social justice”and“Innovation incentives”tension between。Core exemptions include：</w:t>
      </w:r>
    </w:p>
    <w:p>
      <w:pPr>
        <w:numPr>
          <w:ilvl w:val="0"/>
          <w:numId w:val="1004"/>
        </w:numPr>
      </w:pPr>
      <w:r>
        <w:rPr>
          <w:rFonts w:ascii="Arial" w:hAnsi="Arial" w:cs="Arial"/>
          <w:b/>
        </w:rPr>
        <w:t xml:space="preserve">Startups cut in half：</w:t>
      </w:r>
      <w:r>
        <w:rPr>
          <w:rFonts w:ascii="Arial" w:hAnsi="Arial" w:cs="Arial"/>
        </w:rPr>
        <w:t xml:space="preserve">register3Start-ups of the year，AILabor tax rate halved（D=0.5）。This lowers the threshold for innovation，while ensuring that startups still have minimum social responsibilities。</w:t>
      </w:r>
    </w:p>
    <w:p>
      <w:pPr>
        <w:numPr>
          <w:ilvl w:val="0"/>
          <w:numId w:val="1004"/>
        </w:numPr>
      </w:pPr>
      <w:r>
        <w:rPr>
          <w:rFonts w:ascii="Arial" w:hAnsi="Arial" w:cs="Arial"/>
          <w:b/>
        </w:rPr>
        <w:t xml:space="preserve">Public service exemption：</w:t>
      </w:r>
      <w:r>
        <w:rPr>
          <w:rFonts w:ascii="Arial" w:hAnsi="Arial" w:cs="Arial"/>
        </w:rPr>
        <w:t xml:space="preserve">directly serve the public interestAIsystem（Such as city security monitoring、Disaster warning），After review, you can apply for full exemption（D=0）。Applications for exemption must be reviewed by the Senate，and reassess every year。</w:t>
      </w:r>
    </w:p>
    <w:p>
      <w:pPr>
        <w:numPr>
          <w:ilvl w:val="0"/>
          <w:numId w:val="1004"/>
        </w:numPr>
      </w:pPr>
      <w:r>
        <w:rPr>
          <w:rFonts w:ascii="Arial" w:hAnsi="Arial" w:cs="Arial"/>
          <w:b/>
        </w:rPr>
        <w:t xml:space="preserve">small scale exemption：</w:t>
      </w:r>
      <w:r>
        <w:rPr>
          <w:rFonts w:ascii="Arial" w:hAnsi="Arial" w:cs="Arial"/>
        </w:rPr>
        <w:t xml:space="preserve">The total number of monthly work units is less than100of miniatureAIapplication，exempt from taxAIlabor tax。This protects individual developers and very small-scaleAIuse。</w:t>
      </w:r>
    </w:p>
    <w:p>
      <w:pPr>
        <w:numPr>
          <w:ilvl w:val="0"/>
          <w:numId w:val="1004"/>
        </w:numPr>
      </w:pPr>
      <w:r>
        <w:rPr>
          <w:rFonts w:ascii="Arial" w:hAnsi="Arial" w:cs="Arial"/>
          <w:b/>
        </w:rPr>
        <w:t xml:space="preserve">R&amp;D discounts：</w:t>
      </w:r>
      <w:r>
        <w:rPr>
          <w:rFonts w:ascii="Arial" w:hAnsi="Arial" w:cs="Arial"/>
        </w:rPr>
        <w:t xml:space="preserve">investAIResearch and development funds are deductible20%ofAIlabor tax，The upper limit is the amount of tax payable30%。This encourages businesses to continueAIInnovation investment。</w:t>
      </w:r>
    </w:p>
    <w:p>
      <w:pPr>
        <w:pStyle w:val="FirstParagraph"/>
      </w:pPr>
      <w:r>
        <w:rPr>
          <w:rFonts w:ascii="Arial" w:hAnsi="Arial" w:cs="Arial"/>
          <w:b/>
        </w:rPr>
        <w:t xml:space="preserve">2.3 Calculation example</w:t>
      </w:r>
    </w:p>
    <w:p>
      <w:pPr>
        <w:pStyle w:val="BodyText"/>
      </w:pPr>
      <w:r>
        <w:rPr>
          <w:rFonts w:ascii="Arial" w:hAnsi="Arial" w:cs="Arial"/>
          <w:b/>
        </w:rPr>
        <w:t xml:space="preserve">Example1：Mid-sized fintech company</w:t>
      </w:r>
    </w:p>
    <w:p>
      <w:pPr>
        <w:pStyle w:val="BodyText"/>
      </w:pPr>
      <w:r>
        <w:rPr>
          <w:rFonts w:ascii="Arial" w:hAnsi="Arial" w:cs="Arial"/>
        </w:rPr>
        <w:t xml:space="preserve">A financial technology company’s monthlyAIThe activity data is as follows：APIcall2,000,000Second-rate，Computing power consumption500 GPUHour，Automate tasks50,000indivual。The company is registered5Year（Not eligible for start-up relief）。Current basic tax rateR_base=2.0%。</w:t>
      </w:r>
    </w:p>
    <w:p>
      <w:pPr>
        <w:pStyle w:val="BodyText"/>
      </w:pPr>
      <w:r>
        <w:rPr>
          <w:rFonts w:ascii="Arial" w:hAnsi="Arial" w:cs="Arial"/>
        </w:rPr>
        <w:t xml:space="preserve">Calculation process：</w:t>
      </w:r>
    </w:p>
    <w:p>
      <w:pPr>
        <w:numPr>
          <w:ilvl w:val="0"/>
          <w:numId w:val="1005"/>
        </w:numPr>
      </w:pPr>
      <w:r>
        <w:rPr>
          <w:rFonts w:ascii="Arial" w:hAnsi="Arial" w:cs="Arial"/>
        </w:rPr>
        <w:t xml:space="preserve">WU_API = 2,000,000 × 1 = 2,000,000</w:t>
      </w:r>
    </w:p>
    <w:p>
      <w:pPr>
        <w:numPr>
          <w:ilvl w:val="0"/>
          <w:numId w:val="1005"/>
        </w:numPr>
      </w:pPr>
      <w:r>
        <w:rPr>
          <w:rFonts w:ascii="Arial" w:hAnsi="Arial" w:cs="Arial"/>
        </w:rPr>
        <w:t xml:space="preserve">WU_Computing power = 500 / 100 = 5</w:t>
      </w:r>
    </w:p>
    <w:p>
      <w:pPr>
        <w:numPr>
          <w:ilvl w:val="0"/>
          <w:numId w:val="1005"/>
        </w:numPr>
      </w:pPr>
      <w:r>
        <w:rPr>
          <w:rFonts w:ascii="Arial" w:hAnsi="Arial" w:cs="Arial"/>
        </w:rPr>
        <w:t xml:space="preserve">WU_Task = 50,000 × 1 = 50,000</w:t>
      </w:r>
    </w:p>
    <w:p>
      <w:pPr>
        <w:numPr>
          <w:ilvl w:val="0"/>
          <w:numId w:val="1005"/>
        </w:numPr>
      </w:pPr>
      <w:r>
        <w:rPr>
          <w:rFonts w:ascii="Arial" w:hAnsi="Arial" w:cs="Arial"/>
        </w:rPr>
        <w:t xml:space="preserve">Financial industry substitution coefficientS = 2.8</w:t>
      </w:r>
    </w:p>
    <w:p>
      <w:pPr>
        <w:numPr>
          <w:ilvl w:val="0"/>
          <w:numId w:val="1005"/>
        </w:numPr>
      </w:pPr>
      <w:r>
        <w:rPr>
          <w:rFonts w:ascii="Arial" w:hAnsi="Arial" w:cs="Arial"/>
        </w:rPr>
        <w:t xml:space="preserve">T = (2,000,000 + 5 + 50,000) × 2.8 × 0.02 × 1.0 = 2,050,005 × 2.8 × 0.02 = 114,800.28（Tax calculation unit）</w:t>
      </w:r>
    </w:p>
    <w:p>
      <w:pPr>
        <w:pStyle w:val="FirstParagraph"/>
      </w:pPr>
      <w:r>
        <w:rPr>
          <w:rFonts w:ascii="Arial" w:hAnsi="Arial" w:cs="Arial"/>
        </w:rPr>
        <w:t xml:space="preserve">This amount is converted according to the exchange rate between the tax unit and legal currency of the current month.，That is, the company should payAIlabor tax。</w:t>
      </w:r>
    </w:p>
    <w:p>
      <w:pPr>
        <w:pStyle w:val="BodyText"/>
      </w:pPr>
      <w:r>
        <w:rPr>
          <w:rFonts w:ascii="Arial" w:hAnsi="Arial" w:cs="Arial"/>
          <w:b/>
        </w:rPr>
        <w:t xml:space="preserve">Example2：Start-up logistics company</w:t>
      </w:r>
    </w:p>
    <w:p>
      <w:pPr>
        <w:pStyle w:val="BodyText"/>
      </w:pPr>
      <w:r>
        <w:rPr>
          <w:rFonts w:ascii="Arial" w:hAnsi="Arial" w:cs="Arial"/>
        </w:rPr>
        <w:t xml:space="preserve">a registration1year logisticsAIenterprise：APIcall500,000Second-rate，Automate tasks20,000indivual，Computing power consumption200 GPUHour。Enjoy halving for startups（D=0.5）。</w:t>
      </w:r>
    </w:p>
    <w:p>
      <w:pPr>
        <w:numPr>
          <w:ilvl w:val="0"/>
          <w:numId w:val="1006"/>
        </w:numPr>
      </w:pPr>
      <w:r>
        <w:rPr>
          <w:rFonts w:ascii="Arial" w:hAnsi="Arial" w:cs="Arial"/>
        </w:rPr>
        <w:t xml:space="preserve">WUtotal = 500,000 + 2 + 20,000 = 520,002</w:t>
      </w:r>
    </w:p>
    <w:p>
      <w:pPr>
        <w:numPr>
          <w:ilvl w:val="0"/>
          <w:numId w:val="1006"/>
        </w:numPr>
      </w:pPr>
      <w:r>
        <w:rPr>
          <w:rFonts w:ascii="Arial" w:hAnsi="Arial" w:cs="Arial"/>
        </w:rPr>
        <w:t xml:space="preserve">Logistics industry substitution coefficient S = 2.0</w:t>
      </w:r>
    </w:p>
    <w:p>
      <w:pPr>
        <w:numPr>
          <w:ilvl w:val="0"/>
          <w:numId w:val="1006"/>
        </w:numPr>
      </w:pPr>
      <w:r>
        <w:rPr>
          <w:rFonts w:ascii="Arial" w:hAnsi="Arial" w:cs="Arial"/>
        </w:rPr>
        <w:t xml:space="preserve">T = 520,002 × 2.0 × 0.02 × 0.5 = 10,400.04 (tax unit)</w:t>
      </w:r>
    </w:p>
    <w:p>
      <w:pPr>
        <w:pStyle w:val="FirstParagraph"/>
      </w:pPr>
      <w:r>
        <w:rPr>
          <w:rFonts w:ascii="Arial" w:hAnsi="Arial" w:cs="Arial"/>
          <w:b/>
        </w:rPr>
        <w:t xml:space="preserve">2.4 Interface with Other Systems</w:t>
      </w:r>
    </w:p>
    <w:p>
      <w:pPr>
        <w:numPr>
          <w:ilvl w:val="0"/>
          <w:numId w:val="1007"/>
        </w:numPr>
      </w:pPr>
      <w:r>
        <w:rPr>
          <w:rFonts w:ascii="Arial" w:hAnsi="Arial" w:cs="Arial"/>
          <w:b/>
        </w:rPr>
        <w:t xml:space="preserve">Interface with On-chain Treasury:</w:t>
      </w:r>
      <w:r>
        <w:rPr>
          <w:rFonts w:ascii="Arial" w:hAnsi="Arial" w:cs="Arial"/>
        </w:rPr>
        <w:t xml:space="preserve"> AI Labor Tax is calculated in real-time and recorded in the On-chain Treasury, with daily settlement.</w:t>
      </w:r>
    </w:p>
    <w:p>
      <w:pPr>
        <w:numPr>
          <w:ilvl w:val="0"/>
          <w:numId w:val="1007"/>
        </w:numPr>
      </w:pPr>
      <w:r>
        <w:rPr>
          <w:rFonts w:ascii="Arial" w:hAnsi="Arial" w:cs="Arial"/>
          <w:b/>
        </w:rPr>
        <w:t xml:space="preserve">Interface with UBI System:</w:t>
      </w:r>
      <w:r>
        <w:rPr>
          <w:rFonts w:ascii="Arial" w:hAnsi="Arial" w:cs="Arial"/>
        </w:rPr>
        <w:t xml:space="preserve"> AI Labor Tax revenue is the primary funding source for the UBI pool; tax rate adjustments directly affect UBI distribution levels.</w:t>
      </w:r>
    </w:p>
    <w:p>
      <w:pPr>
        <w:numPr>
          <w:ilvl w:val="0"/>
          <w:numId w:val="1007"/>
        </w:numPr>
      </w:pPr>
      <w:r>
        <w:rPr>
          <w:rFonts w:ascii="Arial" w:hAnsi="Arial" w:cs="Arial"/>
          <w:b/>
        </w:rPr>
        <w:t xml:space="preserve">Interface with Identity System:</w:t>
      </w:r>
      <w:r>
        <w:rPr>
          <w:rFonts w:ascii="Arial" w:hAnsi="Arial" w:cs="Arial"/>
        </w:rPr>
        <w:t xml:space="preserve"> Startup enterprise recognition and exemption eligibility rely on enterprise registration identity verification.</w:t>
      </w:r>
    </w:p>
    <w:p>
      <w:pPr>
        <w:numPr>
          <w:ilvl w:val="0"/>
          <w:numId w:val="1007"/>
        </w:numPr>
      </w:pPr>
      <w:r>
        <w:rPr>
          <w:rFonts w:ascii="Arial" w:hAnsi="Arial" w:cs="Arial"/>
          <w:b/>
        </w:rPr>
        <w:t xml:space="preserve">Interface with Economic Monitoring:</w:t>
      </w:r>
      <w:r>
        <w:rPr>
          <w:rFonts w:ascii="Arial" w:hAnsi="Arial" w:cs="Arial"/>
        </w:rPr>
        <w:t xml:space="preserve"> Quarterly updates of substitution coefficients depend on industry data from the economic monitoring system.</w:t>
      </w:r>
    </w:p>
    <w:p>
      <w:pPr>
        <w:pStyle w:val="FirstParagraph"/>
      </w:pPr>
      <w:r>
        <w:rPr>
          <w:rFonts w:ascii="Arial" w:hAnsi="Arial" w:cs="Arial"/>
          <w:b/>
        </w:rPr>
        <w:t xml:space="preserve">2.5 Verification Methods</w:t>
      </w:r>
    </w:p>
    <w:p>
      <w:pPr>
        <w:pStyle w:val="BodyText"/>
      </w:pPr>
      <w:r>
        <w:rPr>
          <w:rFonts w:ascii="Arial" w:hAnsi="Arial" w:cs="Arial"/>
        </w:rPr>
        <w:t xml:space="preserve">Verification of the AI Labor Tax system encompasses the following dimensions:</w:t>
      </w:r>
    </w:p>
    <w:p>
      <w:pPr>
        <w:numPr>
          <w:ilvl w:val="0"/>
          <w:numId w:val="1008"/>
        </w:numPr>
      </w:pPr>
      <w:r>
        <w:rPr>
          <w:rFonts w:ascii="Arial" w:hAnsi="Arial" w:cs="Arial"/>
          <w:b/>
        </w:rPr>
        <w:t xml:space="preserve">Data Authenticity Verification:</w:t>
      </w:r>
      <w:r>
        <w:rPr>
          <w:rFonts w:ascii="Arial" w:hAnsi="Arial" w:cs="Arial"/>
        </w:rPr>
        <w:t xml:space="preserve"> Work unit measurement data is protected against tampering through TPM signatures and On-chain verification.</w:t>
      </w:r>
    </w:p>
    <w:p>
      <w:pPr>
        <w:numPr>
          <w:ilvl w:val="0"/>
          <w:numId w:val="1008"/>
        </w:numPr>
      </w:pPr>
      <w:r>
        <w:rPr>
          <w:rFonts w:ascii="Arial" w:hAnsi="Arial" w:cs="Arial"/>
          <w:b/>
        </w:rPr>
        <w:t xml:space="preserve">Calculation Correctness Verification:</w:t>
      </w:r>
      <w:r>
        <w:rPr>
          <w:rFonts w:ascii="Arial" w:hAnsi="Arial" w:cs="Arial"/>
        </w:rPr>
        <w:t xml:space="preserve"> Monthly, an independent audit institution samples 10% of taxpayers for manual review of the taxation process.</w:t>
      </w:r>
    </w:p>
    <w:p>
      <w:pPr>
        <w:numPr>
          <w:ilvl w:val="0"/>
          <w:numId w:val="1008"/>
        </w:numPr>
      </w:pPr>
      <w:r>
        <w:rPr>
          <w:rFonts w:ascii="Arial" w:hAnsi="Arial" w:cs="Arial"/>
          <w:b/>
        </w:rPr>
        <w:t xml:space="preserve">Coefficient Reasonableness Verification:</w:t>
      </w:r>
      <w:r>
        <w:rPr>
          <w:rFonts w:ascii="Arial" w:hAnsi="Arial" w:cs="Arial"/>
        </w:rPr>
        <w:t xml:space="preserve"> Upon substitution coefficient updates, the Academic Committee conducts regression analysis to ensure consistency with actual employment data.</w:t>
      </w:r>
    </w:p>
    <w:p>
      <w:pPr>
        <w:numPr>
          <w:ilvl w:val="0"/>
          <w:numId w:val="1008"/>
        </w:numPr>
      </w:pPr>
      <w:r>
        <w:rPr>
          <w:rFonts w:ascii="Arial" w:hAnsi="Arial" w:cs="Arial"/>
          <w:b/>
        </w:rPr>
        <w:t xml:space="preserve">Exemption Compliance Verification:</w:t>
      </w:r>
      <w:r>
        <w:rPr>
          <w:rFonts w:ascii="Arial" w:hAnsi="Arial" w:cs="Arial"/>
        </w:rPr>
        <w:t xml:space="preserve"> Quarterly audit of all entities enjoying exemptions to confirm continued eligibility.</w:t>
      </w:r>
    </w:p>
    <w:p>
      <w:pPr>
        <w:pStyle w:val="FirstParagraph"/>
      </w:pPr>
      <w:r>
        <w:rPr>
          <w:rFonts w:ascii="Arial" w:hAnsi="Arial" w:cs="Arial"/>
          <w:b/>
        </w:rPr>
        <w:t xml:space="preserve">Chapter 3 UBI Universal Basic Income System</w:t>
      </w:r>
    </w:p>
    <w:p>
      <w:pPr>
        <w:pStyle w:val="BodyText"/>
      </w:pPr>
      <w:r>
        <w:rPr>
          <w:rFonts w:ascii="Arial" w:hAnsi="Arial" w:cs="Arial"/>
          <w:b/>
        </w:rPr>
        <w:t xml:space="preserve">3.1 Design Philosophy</w:t>
      </w:r>
    </w:p>
    <w:p>
      <w:pPr>
        <w:pStyle w:val="BodyText"/>
      </w:pPr>
      <w:r>
        <w:rPr>
          <w:rFonts w:ascii="Arial" w:hAnsi="Arial" w:cs="Arial"/>
        </w:rPr>
        <w:t>UBI (Universal Basic Income) is the core distribution mechanism of the DAOTONG economic system. Unlike traditional “relief-based” social welfare, UBI is unconditional——no proof of poverty required, no proof of unemployment required, no proof of any “worthiness to help” needed. This is an inherent right attached to citizenship, just as breathing air requires no proof of qualification.</w:t>
      </w:r>
    </w:p>
    <w:p>
      <w:pPr>
        <w:pStyle w:val="BodyText"/>
      </w:pPr>
      <w:r>
        <w:rPr>
          <w:rFonts w:ascii="Arial" w:hAnsi="Arial" w:cs="Arial"/>
        </w:rPr>
        <w:t>The unconditionality of UBI has three dimensions: income unconditionality (regardless of wealth), behavior unconditionality (no restrictions on use), and screening unconditionality (no consumption review). This design eliminates the stigma and administrative costs of traditional welfare systems, and avoids the “welfare trap”——where traditional welfare is revoked when income increases, effectively penalizing employment; UBI always exists and never decreases due to income increases.</w:t>
      </w:r>
    </w:p>
    <w:p>
      <w:pPr>
        <w:pStyle w:val="BodyText"/>
      </w:pPr>
      <w:r>
        <w:rPr>
          <w:rFonts w:ascii="Arial" w:hAnsi="Arial" w:cs="Arial"/>
          <w:b/>
        </w:rPr>
        <w:t xml:space="preserve">3.2 Distribution Formula</w:t>
      </w:r>
    </w:p>
    <w:p>
      <w:pPr>
        <w:pStyle w:val="BodyText"/>
      </w:pPr>
      <w:r>
        <w:rPr>
          <w:rFonts w:ascii="Arial" w:hAnsi="Arial" w:cs="Arial"/>
          <w:b/>
        </w:rPr>
        <w:t xml:space="preserve">3.2.1 Complete Formula</w:t>
      </w:r>
    </w:p>
    <w:p>
      <w:pPr>
        <w:pStyle w:val="BodyText"/>
      </w:pPr>
      <w:r>
        <w:rPr>
          <w:rFonts w:ascii="Arial" w:hAnsi="Arial" w:cs="Arial"/>
          <w:b/>
        </w:rPr>
        <w:t xml:space="preserve">UBI = B × Y × C</w:t>
      </w:r>
    </w:p>
    <w:p>
      <w:pPr>
        <w:pStyle w:val="BodyText"/>
      </w:pPr>
      <w:r>
        <w:rPr>
          <w:rFonts w:ascii="Arial" w:hAnsi="Arial" w:cs="Arial"/>
        </w:rPr>
        <w:t xml:space="preserve">Where:</w:t>
      </w:r>
    </w:p>
    <w:p>
      <w:pPr>
        <w:numPr>
          <w:ilvl w:val="0"/>
          <w:numId w:val="1009"/>
        </w:numPr>
      </w:pPr>
      <w:r>
        <w:rPr>
          <w:rFonts w:ascii="Arial" w:hAnsi="Arial" w:cs="Arial"/>
          <w:b/>
        </w:rPr>
        <w:t xml:space="preserve">B:</w:t>
      </w:r>
      <w:r>
        <w:rPr>
          <w:rFonts w:ascii="Arial" w:hAnsi="Arial" w:cs="Arial"/>
        </w:rPr>
        <w:t xml:space="preserve"> Base Amount, ≥ urban minimum cost of living</w:t>
      </w:r>
    </w:p>
    <w:p>
      <w:pPr>
        <w:numPr>
          <w:ilvl w:val="0"/>
          <w:numId w:val="1009"/>
        </w:numPr>
      </w:pPr>
      <w:r>
        <w:rPr>
          <w:rFonts w:ascii="Arial" w:hAnsi="Arial" w:cs="Arial"/>
          <w:b/>
        </w:rPr>
        <w:t xml:space="preserve">Y:</w:t>
      </w:r>
      <w:r>
        <w:rPr>
          <w:rFonts w:ascii="Arial" w:hAnsi="Arial" w:cs="Arial"/>
        </w:rPr>
        <w:t xml:space="preserve"> Year Factor, 1.0~1.2</w:t>
      </w:r>
    </w:p>
    <w:p>
      <w:pPr>
        <w:numPr>
          <w:ilvl w:val="0"/>
          <w:numId w:val="1009"/>
        </w:numPr>
      </w:pPr>
      <w:r>
        <w:rPr>
          <w:rFonts w:ascii="Arial" w:hAnsi="Arial" w:cs="Arial"/>
          <w:b/>
        </w:rPr>
        <w:t xml:space="preserve">C:</w:t>
      </w:r>
      <w:r>
        <w:rPr>
          <w:rFonts w:ascii="Arial" w:hAnsi="Arial" w:cs="Arial"/>
        </w:rPr>
        <w:t xml:space="preserve"> Contribution Factor, 1.0~1.5</w:t>
      </w:r>
    </w:p>
    <w:p>
      <w:pPr>
        <w:pStyle w:val="FirstParagraph"/>
      </w:pPr>
      <w:r>
        <w:rPr>
          <w:rFonts w:ascii="Arial" w:hAnsi="Arial" w:cs="Arial"/>
          <w:b/>
        </w:rPr>
        <w:t xml:space="preserve">3.2.2 Base Amount Setting</w:t>
      </w:r>
    </w:p>
    <w:p>
      <w:pPr>
        <w:pStyle w:val="BodyText"/>
      </w:pPr>
      <w:r>
        <w:rPr>
          <w:rFonts w:ascii="Arial" w:hAnsi="Arial" w:cs="Arial"/>
        </w:rPr>
        <w:t>The base amount is the core parameter of UBI, set following the principle of “minimum dignity”: ensuring every citizen can maintain a basic decent standard of living with UBI alone. The initial base amount is determined by an independent Livelihood Assessment Committee, comprising economists, sociologists, and citizen representatives. Setting criteria include: basic nutritional diet, basic housing, essential healthcare, public transportation, and basic communication.</w:t>
      </w:r>
    </w:p>
    <w:p>
      <w:pPr>
        <w:pStyle w:val="BodyText"/>
      </w:pPr>
      <w:r>
        <w:rPr>
          <w:rFonts w:ascii="Arial" w:hAnsi="Arial" w:cs="Arial"/>
        </w:rPr>
        <w:t xml:space="preserve">The base amount adjusts automatically each quarter based on the Consumer Price Index (CPI), with the adjustment formula:</w:t>
      </w:r>
    </w:p>
    <w:p>
      <w:pPr>
        <w:pStyle w:val="BodyText"/>
      </w:pPr>
      <w:r>
        <w:rPr>
          <w:rFonts w:ascii="Arial" w:hAnsi="Arial" w:cs="Arial"/>
        </w:rPr>
        <w:t xml:space="preserve">B_new = B_old × (1 + CPI_quarterly)</w:t>
      </w:r>
    </w:p>
    <w:p>
      <w:pPr>
        <w:pStyle w:val="BodyText"/>
      </w:pPr>
      <w:r>
        <w:rPr>
          <w:rFonts w:ascii="Arial" w:hAnsi="Arial" w:cs="Arial"/>
        </w:rPr>
        <w:t xml:space="preserve">When quarterly CPI change exceeds 5%, an emergency assessment procedure is triggered, with the Elder Council Economic Committee making a special adjustment decision within 7 working days.</w:t>
      </w:r>
    </w:p>
    <w:p>
      <w:pPr>
        <w:pStyle w:val="BodyText"/>
      </w:pPr>
      <w:r>
        <w:rPr>
          <w:rFonts w:ascii="Arial" w:hAnsi="Arial" w:cs="Arial"/>
          <w:b/>
        </w:rPr>
        <w:t xml:space="preserve">3.2.3 Year Factor</w:t>
      </w:r>
    </w:p>
    <w:p>
      <w:pPr>
        <w:pStyle w:val="BodyText"/>
      </w:pPr>
      <w:r>
        <w:rPr>
          <w:rFonts w:ascii="Arial" w:hAnsi="Arial" w:cs="Arial"/>
        </w:rPr>
        <w:t xml:space="preserve">The year factor incentivizes long-term residence and community stability while avoiding discrimination against newcomers. The coefficient design is as follows:</w:t>
      </w:r>
    </w:p>
    <w:tbl>
      <w:tblPr>
        <w:tblStyle w:val="Table"/>
        <w:tblW w:type="pct" w:w="0.0"/>
        <w:tblLook w:firstRow="0"/>
      </w:tblPr>
      <w:tblGrid/>
      <w:tr>
        <w:tc>
          <w:p>
            <w:pPr>
              <w:pStyle w:val="Compact"/>
              <w:jc w:val="left"/>
            </w:pPr>
            <w:r>
              <w:rPr>
                <w:rFonts w:ascii="Arial" w:hAnsi="Arial" w:cs="Arial"/>
                <w:b/>
              </w:rPr>
              <w:t xml:space="preserve">Years of Residence</w:t>
            </w:r>
          </w:p>
        </w:tc>
        <w:tc>
          <w:p>
            <w:pPr>
              <w:pStyle w:val="Compact"/>
              <w:jc w:val="left"/>
            </w:pPr>
            <w:r>
              <w:rPr>
                <w:rFonts w:ascii="Arial" w:hAnsi="Arial" w:cs="Arial"/>
                <w:b/>
              </w:rPr>
              <w:t xml:space="preserve">Year Factor Y</w:t>
            </w:r>
          </w:p>
        </w:tc>
        <w:tc>
          <w:p>
            <w:pPr>
              <w:pStyle w:val="Compact"/>
              <w:jc w:val="left"/>
            </w:pPr>
            <w:r>
              <w:rPr>
                <w:rFonts w:ascii="Arial" w:hAnsi="Arial" w:cs="Arial"/>
                <w:b/>
              </w:rPr>
              <w:t xml:space="preserve">Description</w:t>
            </w:r>
          </w:p>
        </w:tc>
      </w:tr>
      <w:tr>
        <w:tc>
          <w:p>
            <w:pPr>
              <w:pStyle w:val="Compact"/>
              <w:jc w:val="left"/>
            </w:pPr>
            <w:r>
              <w:rPr>
                <w:rFonts w:ascii="Arial" w:hAnsi="Arial" w:cs="Arial"/>
              </w:rPr>
              <w:t xml:space="preserve">0-1 years</w:t>
            </w:r>
          </w:p>
        </w:tc>
        <w:tc>
          <w:p>
            <w:pPr>
              <w:pStyle w:val="Compact"/>
              <w:jc w:val="left"/>
            </w:pPr>
            <w:r>
              <w:rPr>
                <w:rFonts w:ascii="Arial" w:hAnsi="Arial" w:cs="Arial"/>
              </w:rPr>
              <w:t xml:space="preserve">1.00</w:t>
            </w:r>
          </w:p>
        </w:tc>
        <w:tc>
          <w:p>
            <w:pPr>
              <w:pStyle w:val="Compact"/>
              <w:jc w:val="left"/>
            </w:pPr>
            <w:r>
              <w:rPr>
                <w:rFonts w:ascii="Arial" w:hAnsi="Arial" w:cs="Arial"/>
              </w:rPr>
              <w:t xml:space="preserve">New resident base amount</w:t>
            </w:r>
          </w:p>
        </w:tc>
      </w:tr>
      <w:tr>
        <w:tc>
          <w:p>
            <w:pPr>
              <w:pStyle w:val="Compact"/>
              <w:jc w:val="left"/>
            </w:pPr>
            <w:r>
              <w:rPr>
                <w:rFonts w:ascii="Arial" w:hAnsi="Arial" w:cs="Arial"/>
              </w:rPr>
              <w:t xml:space="preserve">1-3 years</w:t>
            </w:r>
          </w:p>
        </w:tc>
        <w:tc>
          <w:p>
            <w:pPr>
              <w:pStyle w:val="Compact"/>
              <w:jc w:val="left"/>
            </w:pPr>
            <w:r>
              <w:rPr>
                <w:rFonts w:ascii="Arial" w:hAnsi="Arial" w:cs="Arial"/>
              </w:rPr>
              <w:t xml:space="preserve">1.05</w:t>
            </w:r>
          </w:p>
        </w:tc>
        <w:tc>
          <w:p>
            <w:pPr>
              <w:pStyle w:val="Compact"/>
              <w:jc w:val="left"/>
            </w:pPr>
            <w:r>
              <w:rPr>
                <w:rFonts w:ascii="Arial" w:hAnsi="Arial" w:cs="Arial"/>
              </w:rPr>
              <w:t xml:space="preserve">Early integration phase</w:t>
            </w:r>
          </w:p>
        </w:tc>
      </w:tr>
      <w:tr>
        <w:tc>
          <w:p>
            <w:pPr>
              <w:pStyle w:val="Compact"/>
              <w:jc w:val="left"/>
            </w:pPr>
            <w:r>
              <w:rPr>
                <w:rFonts w:ascii="Arial" w:hAnsi="Arial" w:cs="Arial"/>
              </w:rPr>
              <w:t xml:space="preserve">3-5 years</w:t>
            </w:r>
          </w:p>
        </w:tc>
        <w:tc>
          <w:p>
            <w:pPr>
              <w:pStyle w:val="Compact"/>
              <w:jc w:val="left"/>
            </w:pPr>
            <w:r>
              <w:rPr>
                <w:rFonts w:ascii="Arial" w:hAnsi="Arial" w:cs="Arial"/>
              </w:rPr>
              <w:t xml:space="preserve">1.10</w:t>
            </w:r>
          </w:p>
        </w:tc>
        <w:tc>
          <w:p>
            <w:pPr>
              <w:pStyle w:val="Compact"/>
              <w:jc w:val="left"/>
            </w:pPr>
            <w:r>
              <w:rPr>
                <w:rFonts w:ascii="Arial" w:hAnsi="Arial" w:cs="Arial"/>
              </w:rPr>
              <w:t xml:space="preserve">Stable residence phase</w:t>
            </w:r>
          </w:p>
        </w:tc>
      </w:tr>
      <w:tr>
        <w:tc>
          <w:p>
            <w:pPr>
              <w:pStyle w:val="Compact"/>
              <w:jc w:val="left"/>
            </w:pPr>
            <w:r>
              <w:rPr>
                <w:rFonts w:ascii="Arial" w:hAnsi="Arial" w:cs="Arial"/>
              </w:rPr>
              <w:t xml:space="preserve">5-10 years</w:t>
            </w:r>
          </w:p>
        </w:tc>
        <w:tc>
          <w:p>
            <w:pPr>
              <w:pStyle w:val="Compact"/>
              <w:jc w:val="left"/>
            </w:pPr>
            <w:r>
              <w:rPr>
                <w:rFonts w:ascii="Arial" w:hAnsi="Arial" w:cs="Arial"/>
              </w:rPr>
              <w:t xml:space="preserve">1.15</w:t>
            </w:r>
          </w:p>
        </w:tc>
        <w:tc>
          <w:p>
            <w:pPr>
              <w:pStyle w:val="Compact"/>
              <w:jc w:val="left"/>
            </w:pPr>
            <w:r>
              <w:rPr>
                <w:rFonts w:ascii="Arial" w:hAnsi="Arial" w:cs="Arial"/>
              </w:rPr>
              <w:t xml:space="preserve">Long-term contribution phase</w:t>
            </w:r>
          </w:p>
        </w:tc>
      </w:tr>
      <w:tr>
        <w:tc>
          <w:p>
            <w:pPr>
              <w:pStyle w:val="Compact"/>
              <w:jc w:val="left"/>
            </w:pPr>
            <w:r>
              <w:rPr>
                <w:rFonts w:ascii="Arial" w:hAnsi="Arial" w:cs="Arial"/>
              </w:rPr>
              <w:t xml:space="preserve">Over 10 years</w:t>
            </w:r>
          </w:p>
        </w:tc>
        <w:tc>
          <w:p>
            <w:pPr>
              <w:pStyle w:val="Compact"/>
              <w:jc w:val="left"/>
            </w:pPr>
            <w:r>
              <w:rPr>
                <w:rFonts w:ascii="Arial" w:hAnsi="Arial" w:cs="Arial"/>
              </w:rPr>
              <w:t xml:space="preserve">1.20</w:t>
            </w:r>
          </w:p>
        </w:tc>
        <w:tc>
          <w:p>
            <w:pPr>
              <w:pStyle w:val="Compact"/>
              <w:jc w:val="left"/>
            </w:pPr>
            <w:r>
              <w:rPr>
                <w:rFonts w:ascii="Arial" w:hAnsi="Arial" w:cs="Arial"/>
              </w:rPr>
              <w:t xml:space="preserve">Deeply rooted phase (upper limit)</w:t>
            </w:r>
          </w:p>
        </w:tc>
      </w:tr>
    </w:tbl>
    <w:p>
      <w:pPr>
        <w:pStyle w:val="BodyText"/>
      </w:pPr>
      <w:r>
        <w:rPr>
          <w:rFonts w:ascii="Arial" w:hAnsi="Arial" w:cs="Arial"/>
        </w:rPr>
        <w:t xml:space="preserve">Design principle of the year factor: The upper limit of 1.2 means the longest-term residents receive at most 120% of the base amount; the gap is insufficient to cause significant unfairness, but sufficient to recognize long-term contribution. Years are counted from the date of citizen registration, with breaks not exceeding 2 years counted cumulatively.</w:t>
      </w:r>
    </w:p>
    <w:p>
      <w:pPr>
        <w:pStyle w:val="BodyText"/>
      </w:pPr>
      <w:r>
        <w:rPr>
          <w:rFonts w:ascii="Arial" w:hAnsi="Arial" w:cs="Arial"/>
          <w:b/>
        </w:rPr>
        <w:t xml:space="preserve">3.2.4 Contribution Factor</w:t>
      </w:r>
    </w:p>
    <w:p>
      <w:pPr>
        <w:pStyle w:val="BodyText"/>
      </w:pPr>
      <w:r>
        <w:rPr>
          <w:rFonts w:ascii="Arial" w:hAnsi="Arial" w:cs="Arial"/>
        </w:rPr>
        <w:t>The contribution factor is the most innovative part of the UBI formula. It quantifies “social contribution” as an adjustable factor for UBI, without changing UBI’s unconditionality——even if contribution is 0, UBI is still paid in full (C=1.0). The contribution adjustment simply provides additional recognition on top of the base.</w:t>
      </w:r>
    </w:p>
    <w:tbl>
      <w:tblPr>
        <w:tblStyle w:val="Table"/>
        <w:tblW w:type="pct" w:w="5000.0"/>
        <w:tblLook w:firstRow="0"/>
      </w:tblPr>
      <w:tblGrid>
        <w:gridCol w:w="1478"/>
        <w:gridCol w:w="2534"/>
        <w:gridCol w:w="1478"/>
        <w:gridCol w:w="2428"/>
      </w:tblGrid>
      <w:tr>
        <w:tc>
          <w:p>
            <w:pPr>
              <w:pStyle w:val="Compact"/>
              <w:jc w:val="left"/>
            </w:pPr>
            <w:r>
              <w:rPr>
                <w:rFonts w:ascii="Arial" w:hAnsi="Arial" w:cs="Arial"/>
                <w:b/>
              </w:rPr>
              <w:t xml:space="preserve">Contribution Type</w:t>
            </w:r>
          </w:p>
        </w:tc>
        <w:tc>
          <w:p>
            <w:pPr>
              <w:pStyle w:val="Compact"/>
              <w:jc w:val="left"/>
            </w:pPr>
            <w:r>
              <w:rPr>
                <w:rFonts w:ascii="Arial" w:hAnsi="Arial" w:cs="Arial"/>
                <w:b/>
              </w:rPr>
              <w:t xml:space="preserve">Scoring Rules</w:t>
            </w:r>
          </w:p>
        </w:tc>
        <w:tc>
          <w:p>
            <w:pPr>
              <w:pStyle w:val="Compact"/>
              <w:jc w:val="left"/>
            </w:pPr>
            <w:r>
              <w:rPr>
                <w:rFonts w:ascii="Arial" w:hAnsi="Arial" w:cs="Arial"/>
                <w:b/>
              </w:rPr>
              <w:t xml:space="preserve">Annual Cap</w:t>
            </w:r>
          </w:p>
        </w:tc>
        <w:tc>
          <w:p>
            <w:pPr>
              <w:pStyle w:val="Compact"/>
              <w:jc w:val="left"/>
            </w:pPr>
            <w:r>
              <w:rPr>
                <w:rFonts w:ascii="Arial" w:hAnsi="Arial" w:cs="Arial"/>
                <w:b/>
              </w:rPr>
              <w:t xml:space="preserve">Verification Method</w:t>
            </w:r>
          </w:p>
        </w:tc>
      </w:tr>
      <w:tr>
        <w:tc>
          <w:p>
            <w:pPr>
              <w:pStyle w:val="Compact"/>
              <w:jc w:val="left"/>
            </w:pPr>
            <w:r>
              <w:rPr>
                <w:rFonts w:ascii="Arial" w:hAnsi="Arial" w:cs="Arial"/>
              </w:rPr>
              <w:t xml:space="preserve">Volunteer Service</w:t>
            </w:r>
          </w:p>
        </w:tc>
        <w:tc>
          <w:p>
            <w:pPr>
              <w:pStyle w:val="Compact"/>
              <w:jc w:val="left"/>
            </w:pPr>
            <w:r>
              <w:rPr>
                <w:rFonts w:ascii="Arial" w:hAnsi="Arial" w:cs="Arial"/>
              </w:rPr>
              <w:t xml:space="preserve">+0.05 per 100 hours</w:t>
            </w:r>
          </w:p>
        </w:tc>
        <w:tc>
          <w:p>
            <w:pPr>
              <w:pStyle w:val="Compact"/>
              <w:jc w:val="left"/>
            </w:pPr>
            <w:r>
              <w:rPr>
                <w:rFonts w:ascii="Arial" w:hAnsi="Arial" w:cs="Arial"/>
              </w:rPr>
              <w:t xml:space="preserve">+0.20</w:t>
            </w:r>
          </w:p>
        </w:tc>
        <w:tc>
          <w:p>
            <w:pPr>
              <w:pStyle w:val="Compact"/>
              <w:jc w:val="left"/>
            </w:pPr>
            <w:r>
              <w:rPr>
                <w:rFonts w:ascii="Arial" w:hAnsi="Arial" w:cs="Arial"/>
              </w:rPr>
              <w:t xml:space="preserve">Service organization certification + On-chain records</w:t>
            </w:r>
          </w:p>
        </w:tc>
      </w:tr>
      <w:tr>
        <w:tc>
          <w:p>
            <w:pPr>
              <w:pStyle w:val="Compact"/>
              <w:jc w:val="left"/>
            </w:pPr>
            <w:r>
              <w:rPr>
                <w:rFonts w:ascii="Arial" w:hAnsi="Arial" w:cs="Arial"/>
              </w:rPr>
              <w:t xml:space="preserve">Innovation Contribution</w:t>
            </w:r>
          </w:p>
        </w:tc>
        <w:tc>
          <w:p>
            <w:pPr>
              <w:pStyle w:val="Compact"/>
              <w:jc w:val="left"/>
            </w:pPr>
            <w:r>
              <w:rPr>
                <w:rFonts w:ascii="Arial" w:hAnsi="Arial" w:cs="Arial"/>
              </w:rPr>
              <w:t xml:space="preserve">+0.03 per patent/open source project</w:t>
            </w:r>
          </w:p>
        </w:tc>
        <w:tc>
          <w:p>
            <w:pPr>
              <w:pStyle w:val="Compact"/>
              <w:jc w:val="left"/>
            </w:pPr>
            <w:r>
              <w:rPr>
                <w:rFonts w:ascii="Arial" w:hAnsi="Arial" w:cs="Arial"/>
              </w:rPr>
              <w:t xml:space="preserve">+0.15</w:t>
            </w:r>
          </w:p>
        </w:tc>
        <w:tc>
          <w:p>
            <w:pPr>
              <w:pStyle w:val="Compact"/>
              <w:jc w:val="left"/>
            </w:pPr>
            <w:r>
              <w:rPr>
                <w:rFonts w:ascii="Arial" w:hAnsi="Arial" w:cs="Arial"/>
              </w:rPr>
              <w:t xml:space="preserve">Patent office/open source platform verification</w:t>
            </w:r>
          </w:p>
        </w:tc>
      </w:tr>
      <w:tr>
        <w:tc>
          <w:p>
            <w:pPr>
              <w:pStyle w:val="Compact"/>
              <w:jc w:val="left"/>
            </w:pPr>
            <w:r>
              <w:rPr>
                <w:rFonts w:ascii="Arial" w:hAnsi="Arial" w:cs="Arial"/>
              </w:rPr>
              <w:t xml:space="preserve">Education Contribution</w:t>
            </w:r>
          </w:p>
        </w:tc>
        <w:tc>
          <w:p>
            <w:pPr>
              <w:pStyle w:val="Compact"/>
              <w:jc w:val="left"/>
            </w:pPr>
            <w:r>
              <w:rPr>
                <w:rFonts w:ascii="Arial" w:hAnsi="Arial" w:cs="Arial"/>
              </w:rPr>
              <w:t xml:space="preserve">+0.02 per completed course</w:t>
            </w:r>
          </w:p>
        </w:tc>
        <w:tc>
          <w:p>
            <w:pPr>
              <w:pStyle w:val="Compact"/>
              <w:jc w:val="left"/>
            </w:pPr>
            <w:r>
              <w:rPr>
                <w:rFonts w:ascii="Arial" w:hAnsi="Arial" w:cs="Arial"/>
              </w:rPr>
              <w:t xml:space="preserve">+0.10</w:t>
            </w:r>
          </w:p>
        </w:tc>
        <w:tc>
          <w:p>
            <w:pPr>
              <w:pStyle w:val="Compact"/>
              <w:jc w:val="left"/>
            </w:pPr>
            <w:r>
              <w:rPr>
                <w:rFonts w:ascii="Arial" w:hAnsi="Arial" w:cs="Arial"/>
              </w:rPr>
              <w:t xml:space="preserve">Education platform credit certification</w:t>
            </w:r>
          </w:p>
        </w:tc>
      </w:tr>
      <w:tr>
        <w:tc>
          <w:p>
            <w:pPr>
              <w:pStyle w:val="Compact"/>
              <w:jc w:val="left"/>
            </w:pPr>
            <w:r>
              <w:rPr>
                <w:rFonts w:ascii="Arial" w:hAnsi="Arial" w:cs="Arial"/>
              </w:rPr>
              <w:t xml:space="preserve">Community Service</w:t>
            </w:r>
          </w:p>
        </w:tc>
        <w:tc>
          <w:p>
            <w:pPr>
              <w:pStyle w:val="Compact"/>
              <w:jc w:val="left"/>
            </w:pPr>
            <w:r>
              <w:rPr>
                <w:rFonts w:ascii="Arial" w:hAnsi="Arial" w:cs="Arial"/>
              </w:rPr>
              <w:t xml:space="preserve">+0.04 per 100 hours</w:t>
            </w:r>
          </w:p>
        </w:tc>
        <w:tc>
          <w:p>
            <w:pPr>
              <w:pStyle w:val="Compact"/>
              <w:jc w:val="left"/>
            </w:pPr>
            <w:r>
              <w:rPr>
                <w:rFonts w:ascii="Arial" w:hAnsi="Arial" w:cs="Arial"/>
              </w:rPr>
              <w:t xml:space="preserve">+0.15</w:t>
            </w:r>
          </w:p>
        </w:tc>
        <w:tc>
          <w:p>
            <w:pPr>
              <w:pStyle w:val="Compact"/>
              <w:jc w:val="left"/>
            </w:pPr>
            <w:r>
              <w:rPr>
                <w:rFonts w:ascii="Arial" w:hAnsi="Arial" w:cs="Arial"/>
              </w:rPr>
              <w:t xml:space="preserve">Community committee certification</w:t>
            </w:r>
          </w:p>
        </w:tc>
      </w:tr>
      <w:tr>
        <w:tc>
          <w:p>
            <w:pPr>
              <w:pStyle w:val="Compact"/>
              <w:jc w:val="left"/>
            </w:pPr>
            <w:r>
              <w:rPr>
                <w:rFonts w:ascii="Arial" w:hAnsi="Arial" w:cs="Arial"/>
              </w:rPr>
              <w:t xml:space="preserve">Environmental Contribution</w:t>
            </w:r>
          </w:p>
        </w:tc>
        <w:tc>
          <w:p>
            <w:pPr>
              <w:pStyle w:val="Compact"/>
              <w:jc w:val="left"/>
            </w:pPr>
            <w:r>
              <w:rPr>
                <w:rFonts w:ascii="Arial" w:hAnsi="Arial" w:cs="Arial"/>
              </w:rPr>
              <w:t xml:space="preserve">+0.05 for meeting carbon reduction targets</w:t>
            </w:r>
          </w:p>
        </w:tc>
        <w:tc>
          <w:p>
            <w:pPr>
              <w:pStyle w:val="Compact"/>
              <w:jc w:val="left"/>
            </w:pPr>
            <w:r>
              <w:rPr>
                <w:rFonts w:ascii="Arial" w:hAnsi="Arial" w:cs="Arial"/>
              </w:rPr>
              <w:t xml:space="preserve">+0.10</w:t>
            </w:r>
          </w:p>
        </w:tc>
        <w:tc>
          <w:p>
            <w:pPr>
              <w:pStyle w:val="Compact"/>
              <w:jc w:val="left"/>
            </w:pPr>
            <w:r>
              <w:rPr>
                <w:rFonts w:ascii="Arial" w:hAnsi="Arial" w:cs="Arial"/>
              </w:rPr>
              <w:t xml:space="preserve">Environmental monitoring system verification</w:t>
            </w:r>
          </w:p>
        </w:tc>
      </w:tr>
    </w:tbl>
    <w:p>
      <w:pPr>
        <w:pStyle w:val="BodyText"/>
      </w:pPr>
      <w:r>
        <w:rPr>
          <w:rFonts w:ascii="Arial" w:hAnsi="Arial" w:cs="Arial"/>
        </w:rPr>
        <w:t xml:space="preserve">The contribution adjustment factor is calculated annually, recalculated on January 1st each year based on certified contributions from the previous year. The combined cap for all contribution types is 0.70, plus the base of 1.0, yielding a total cap of 1.70. However, considering practical achievability, the effective cap is approximately 1.50.</w:t>
      </w:r>
    </w:p>
    <w:p>
      <w:pPr>
        <w:pStyle w:val="BodyText"/>
      </w:pPr>
      <w:r>
        <w:rPr>
          <w:rFonts w:ascii="Arial" w:hAnsi="Arial" w:cs="Arial"/>
          <w:b/>
        </w:rPr>
        <w:t xml:space="preserve">3.3 Distribution Algorithm Pseudocode</w:t>
      </w:r>
    </w:p>
    <w:p>
      <w:pPr>
        <w:pStyle w:val="BodyText"/>
      </w:pPr>
      <w:r>
        <w:rPr>
          <w:rFonts w:ascii="Arial" w:hAnsi="Arial" w:cs="Arial"/>
        </w:rPr>
        <w:t xml:space="preserve">The following is the core logic of the UBI monthly distribution algorithm:</w:t>
      </w:r>
    </w:p>
    <w:p>
      <w:pPr>
        <w:pStyle w:val="BodyText"/>
      </w:pPr>
      <w:r>
        <w:rPr>
          <w:rFonts w:ascii="Arial" w:hAnsi="Arial" w:cs="Arial"/>
        </w:rPr>
        <w:t xml:space="preserve">FUNCTION CalculateUBI(citizen_id, month):</w:t>
      </w:r>
    </w:p>
    <w:p>
      <w:pPr>
        <w:pStyle w:val="BlockText"/>
      </w:pPr>
      <w:r>
        <w:rPr>
          <w:rFonts w:ascii="Arial" w:hAnsi="Arial" w:cs="Arial"/>
        </w:rPr>
        <w:t xml:space="preserve">// Step 1: Get base parameters</w:t>
      </w:r>
    </w:p>
    <w:p>
      <w:pPr>
        <w:pStyle w:val="BlockText"/>
      </w:pPr>
      <w:r>
        <w:rPr>
          <w:rFonts w:ascii="Arial" w:hAnsi="Arial" w:cs="Arial"/>
        </w:rPr>
        <w:t xml:space="preserve">B = GetBaseAmount(month) // Including quarterly CPI adjustment</w:t>
      </w:r>
    </w:p>
    <w:p>
      <w:pPr>
        <w:pStyle w:val="BlockText"/>
      </w:pPr>
      <w:r>
        <w:rPr>
          <w:rFonts w:ascii="Arial" w:hAnsi="Arial" w:cs="Arial"/>
        </w:rPr>
        <w:t xml:space="preserve">Y = GetYearFactor(citizen_id) // Year factor lookup</w:t>
      </w:r>
    </w:p>
    <w:p>
      <w:pPr>
        <w:pStyle w:val="BlockText"/>
      </w:pPr>
      <w:r>
        <w:rPr>
          <w:rFonts w:ascii="Arial" w:hAnsi="Arial" w:cs="Arial"/>
        </w:rPr>
        <w:t xml:space="preserve">C = GetContributionFactor(citizen_id, Year-1)</w:t>
      </w:r>
    </w:p>
    <w:p>
      <w:pPr>
        <w:pStyle w:val="BlockText"/>
      </w:pPr>
      <w:r>
        <w:rPr>
          <w:rFonts w:ascii="Arial" w:hAnsi="Arial" w:cs="Arial"/>
        </w:rPr>
        <w:t xml:space="preserve">// Step 2: Calculate UBI amount</w:t>
      </w:r>
    </w:p>
    <w:p>
      <w:pPr>
        <w:pStyle w:val="BlockText"/>
      </w:pPr>
      <w:r>
        <w:rPr>
          <w:rFonts w:ascii="Arial" w:hAnsi="Arial" w:cs="Arial"/>
        </w:rPr>
        <w:t xml:space="preserve">ubi_amount = B * Y * C</w:t>
      </w:r>
    </w:p>
    <w:p>
      <w:pPr>
        <w:pStyle w:val="BlockText"/>
      </w:pPr>
      <w:r>
        <w:rPr>
          <w:rFonts w:ascii="Arial" w:hAnsi="Arial" w:cs="Arial"/>
        </w:rPr>
        <w:t xml:space="preserve">// Step 3: Treasury balance verification</w:t>
      </w:r>
    </w:p>
    <w:p>
      <w:pPr>
        <w:pStyle w:val="BlockText"/>
      </w:pPr>
      <w:r>
        <w:rPr>
          <w:rFonts w:ascii="Arial" w:hAnsi="Arial" w:cs="Arial"/>
        </w:rPr>
        <w:t xml:space="preserve">IF Treasury.Balance &lt; ubi_amount * 12:</w:t>
      </w:r>
    </w:p>
    <w:p>
      <w:pPr>
        <w:pStyle w:val="BlockText"/>
      </w:pPr>
      <w:r>
        <w:rPr>
          <w:rFonts w:ascii="Arial" w:hAnsi="Arial" w:cs="Arial"/>
        </w:rPr>
        <w:t xml:space="preserve">TRIGGER EmergencyFiscalAlert()</w:t>
      </w:r>
    </w:p>
    <w:p>
      <w:pPr>
        <w:pStyle w:val="BlockText"/>
      </w:pPr>
      <w:r>
        <w:rPr>
          <w:rFonts w:ascii="Arial" w:hAnsi="Arial" w:cs="Arial"/>
        </w:rPr>
        <w:t xml:space="preserve">// UBI distribution cannot be blocked, only alerts triggered</w:t>
      </w:r>
    </w:p>
    <w:p>
      <w:pPr>
        <w:pStyle w:val="BlockText"/>
      </w:pPr>
      <w:r>
        <w:rPr>
          <w:rFonts w:ascii="Arial" w:hAnsi="Arial" w:cs="Arial"/>
        </w:rPr>
        <w:t xml:space="preserve">// Step 4: Execute transfer</w:t>
      </w:r>
    </w:p>
    <w:p>
      <w:pPr>
        <w:pStyle w:val="BlockText"/>
      </w:pPr>
      <w:r>
        <w:rPr>
          <w:rFonts w:ascii="Arial" w:hAnsi="Arial" w:cs="Arial"/>
        </w:rPr>
        <w:t xml:space="preserve">EXECUTE Treasury.Transfer(citizen_id, ubi_amount)</w:t>
      </w:r>
    </w:p>
    <w:p>
      <w:pPr>
        <w:pStyle w:val="BlockText"/>
      </w:pPr>
      <w:r>
        <w:rPr>
          <w:rFonts w:ascii="Arial" w:hAnsi="Arial" w:cs="Arial"/>
        </w:rPr>
        <w:t xml:space="preserve">LOG UBI_Distribution(citizen_id, month, ubi_amount)</w:t>
      </w:r>
    </w:p>
    <w:p>
      <w:pPr>
        <w:pStyle w:val="BlockText"/>
      </w:pPr>
      <w:r>
        <w:rPr>
          <w:rFonts w:ascii="Arial" w:hAnsi="Arial" w:cs="Arial"/>
        </w:rPr>
        <w:t xml:space="preserve">RETURN ubi_amount</w:t>
      </w:r>
    </w:p>
    <w:p>
      <w:pPr>
        <w:pStyle w:val="FirstParagraph"/>
      </w:pPr>
      <w:r>
        <w:rPr>
          <w:rFonts w:ascii="Arial" w:hAnsi="Arial" w:cs="Arial"/>
          <w:b/>
        </w:rPr>
        <w:t xml:space="preserve">3.4 Distribution Mechanism</w:t>
      </w:r>
    </w:p>
    <w:p>
      <w:pPr>
        <w:pStyle w:val="BodyText"/>
      </w:pPr>
      <w:r>
        <w:rPr>
          <w:rFonts w:ascii="Arial" w:hAnsi="Arial" w:cs="Arial"/>
        </w:rPr>
        <w:t>UBI distribution adopts a “Smart Contract automatic execution” model. The specific process is: at 00:00 UTC on the 1st of each month, the UBI distribution Smart Contract automatically triggers, iterates through all eligible citizens, calculates UBI amounts individually, and executes On-chain transfers. The entire process completes within approximately 4 hours (depending on total citizen count and network throughput). Upon completion of transfers, the system automatically generates a distribution report containing total distribution amount, number of beneficiaries, average distribution amount, and other statistical information, pushed to the citizen dashboard.</w:t>
      </w:r>
    </w:p>
    <w:p>
      <w:pPr>
        <w:pStyle w:val="BodyText"/>
      </w:pPr>
      <w:r>
        <w:rPr>
          <w:rFonts w:ascii="Arial" w:hAnsi="Arial" w:cs="Arial"/>
        </w:rPr>
        <w:t>For citizens whose distribution fails (e.g., invalid wallet address), their UBI amounts are temporarily held in the Treasury’s “pending distribution pool.” Citizens may claim their UBI at any time after updating their wallet address, with no “expiration” issue. Funds in the pending distribution pool do not affect the Treasury’s other spending capabilities——these funds are treated as “committed but unfulfilled” liabilities, separately listed in Treasury financial statements.</w:t>
      </w:r>
    </w:p>
    <w:p>
      <w:pPr>
        <w:pStyle w:val="BodyText"/>
      </w:pPr>
      <w:r>
        <w:rPr>
          <w:rFonts w:ascii="Arial" w:hAnsi="Arial" w:cs="Arial"/>
          <w:b/>
        </w:rPr>
        <w:t xml:space="preserve">3.5 Verification Methods</w:t>
      </w:r>
    </w:p>
    <w:p>
      <w:pPr>
        <w:numPr>
          <w:ilvl w:val="0"/>
          <w:numId w:val="1010"/>
        </w:numPr>
      </w:pPr>
      <w:r>
        <w:rPr>
          <w:rFonts w:ascii="Arial" w:hAnsi="Arial" w:cs="Arial"/>
          <w:b/>
        </w:rPr>
        <w:t xml:space="preserve">Distribution Completeness Verification:</w:t>
      </w:r>
      <w:r>
        <w:rPr>
          <w:rFonts w:ascii="Arial" w:hAnsi="Arial" w:cs="Arial"/>
        </w:rPr>
        <w:t xml:space="preserve"> After monthly distribution, cross-reference with the citizen registry to ensure no omissions.</w:t>
      </w:r>
    </w:p>
    <w:p>
      <w:pPr>
        <w:numPr>
          <w:ilvl w:val="0"/>
          <w:numId w:val="1010"/>
        </w:numPr>
      </w:pPr>
      <w:r>
        <w:rPr>
          <w:rFonts w:ascii="Arial" w:hAnsi="Arial" w:cs="Arial"/>
          <w:b/>
        </w:rPr>
        <w:t xml:space="preserve">Amount Correctness Verification:</w:t>
      </w:r>
      <w:r>
        <w:rPr>
          <w:rFonts w:ascii="Arial" w:hAnsi="Arial" w:cs="Arial"/>
        </w:rPr>
        <w:t xml:space="preserve"> Randomly sample 5% of citizens for manual review of their UBI calculation process.</w:t>
      </w:r>
    </w:p>
    <w:p>
      <w:pPr>
        <w:numPr>
          <w:ilvl w:val="0"/>
          <w:numId w:val="1010"/>
        </w:numPr>
      </w:pPr>
      <w:r>
        <w:rPr>
          <w:rFonts w:ascii="Arial" w:hAnsi="Arial" w:cs="Arial"/>
          <w:b/>
        </w:rPr>
        <w:t xml:space="preserve">CPI Adjustment Verification:</w:t>
      </w:r>
      <w:r>
        <w:rPr>
          <w:rFonts w:ascii="Arial" w:hAnsi="Arial" w:cs="Arial"/>
        </w:rPr>
        <w:t xml:space="preserve"> After quarterly adjustments, independent economic institutions verify the accuracy of CPI data sources and calculation processes.</w:t>
      </w:r>
    </w:p>
    <w:p>
      <w:pPr>
        <w:numPr>
          <w:ilvl w:val="0"/>
          <w:numId w:val="1010"/>
        </w:numPr>
      </w:pPr>
      <w:r>
        <w:rPr>
          <w:rFonts w:ascii="Arial" w:hAnsi="Arial" w:cs="Arial"/>
          <w:b/>
        </w:rPr>
        <w:t xml:space="preserve">Contribution Certification Verification:</w:t>
      </w:r>
      <w:r>
        <w:rPr>
          <w:rFonts w:ascii="Arial" w:hAnsi="Arial" w:cs="Arial"/>
        </w:rPr>
        <w:t xml:space="preserve"> Semi-annually audit all types of contribution certification bodies to ensure consistent certification standards.</w:t>
      </w:r>
    </w:p>
    <w:p>
      <w:pPr>
        <w:pStyle w:val="FirstParagraph"/>
      </w:pPr>
      <w:r>
        <w:rPr>
          <w:rFonts w:ascii="Arial" w:hAnsi="Arial" w:cs="Arial"/>
          <w:b/>
        </w:rPr>
        <w:t xml:space="preserve">Chapter 4 Digital Equity System</w:t>
      </w:r>
    </w:p>
    <w:p>
      <w:pPr>
        <w:pStyle w:val="BodyText"/>
      </w:pPr>
      <w:r>
        <w:rPr>
          <w:rFonts w:ascii="Arial" w:hAnsi="Arial" w:cs="Arial"/>
          <w:b/>
        </w:rPr>
        <w:t xml:space="preserve">4.1 Design Philosophy</w:t>
      </w:r>
    </w:p>
    <w:p>
      <w:pPr>
        <w:pStyle w:val="BodyText"/>
      </w:pPr>
      <w:r>
        <w:rPr>
          <w:rFonts w:ascii="Arial" w:hAnsi="Arial" w:cs="Arial"/>
        </w:rPr>
        <w:t>Digital Equity is DAOTONG’s original implementation form of “Citizens’ Ownership in the AI Era.” Traditional ownership is based on capital investment, but in the AI era, the city’s AI infrastructure and public data are the greatest sources of value——and the value of these resources is fundamentally co-created by all citizens. Digital Equity institutionalizes this “co-creation”: every citizen equally holds equity in the city’s AI returns, sharing the economic value created by AI through annual dividends.</w:t>
      </w:r>
    </w:p>
    <w:p>
      <w:pPr>
        <w:pStyle w:val="BodyText"/>
      </w:pPr>
      <w:r>
        <w:rPr>
          <w:rFonts w:ascii="Arial" w:hAnsi="Arial" w:cs="Arial"/>
        </w:rPr>
        <w:t>The difference between Digital Equity and UBI is: UBI is “survival guarantee,” Digital Equity is “development sharing.” UBI ensures basic livelihood, while Digital Equity enables citizens to truly become “shareholders” of the AI economy, not merely “beneficiaries.” This dual distribution mechanism——guarantee + sharing——constitutes the two pillars of economic fairness in DAOTONG.</w:t>
      </w:r>
    </w:p>
    <w:p>
      <w:pPr>
        <w:pStyle w:val="BodyText"/>
      </w:pPr>
      <w:r>
        <w:rPr>
          <w:rFonts w:ascii="Arial" w:hAnsi="Arial" w:cs="Arial"/>
          <w:b/>
        </w:rPr>
        <w:t xml:space="preserve">4.2 Initial Allocation</w:t>
      </w:r>
    </w:p>
    <w:p>
      <w:pPr>
        <w:pStyle w:val="BodyText"/>
      </w:pPr>
      <w:r>
        <w:rPr>
          <w:rFonts w:ascii="Arial" w:hAnsi="Arial" w:cs="Arial"/>
        </w:rPr>
        <w:t xml:space="preserve">Every citizen automatically receives an equal amount of Digital Equity upon registering with DAOTONG. Initial allocation follows the principle of absolute equality: regardless of when they joined, each person receives the same initial equity amount. Equity is recorded On-chain in the form of Non-Fungible Tokens (NFTs), bound to citizen identity.</w:t>
      </w:r>
    </w:p>
    <w:p>
      <w:pPr>
        <w:pStyle w:val="BodyText"/>
      </w:pPr>
      <w:r>
        <w:rPr>
          <w:rFonts w:ascii="Arial" w:hAnsi="Arial" w:cs="Arial"/>
        </w:rPr>
        <w:t>The initial equity amount is set at 1,000 shares per person. This number itself has no economic significance (dividend ratios are what matter), but it provides an intuitive “shareholding feeling,” enhancing citizen participation awareness and belonging. The NFT metadata for equity includes: holder identity hash, issuance date, initial quantity, cumulative dividend records, etc.</w:t>
      </w:r>
    </w:p>
    <w:p>
      <w:pPr>
        <w:pStyle w:val="BodyText"/>
      </w:pPr>
      <w:r>
        <w:rPr>
          <w:rFonts w:ascii="Arial" w:hAnsi="Arial" w:cs="Arial"/>
          <w:b/>
        </w:rPr>
        <w:t xml:space="preserve">4.3 Annual Dividends</w:t>
      </w:r>
    </w:p>
    <w:p>
      <w:pPr>
        <w:pStyle w:val="BodyText"/>
      </w:pPr>
      <w:r>
        <w:rPr>
          <w:rFonts w:ascii="Arial" w:hAnsi="Arial" w:cs="Arial"/>
        </w:rPr>
        <w:t xml:space="preserve">30% of the city’s AI net revenue is allocated as the annual dividend pool, distributed to all shareholders proportionally by equity. Dividend calculation and distribution are fully automated via Smart Contracts, as follows:</w:t>
      </w:r>
    </w:p>
    <w:p>
      <w:pPr>
        <w:numPr>
          <w:ilvl w:val="0"/>
          <w:numId w:val="1011"/>
        </w:numPr>
      </w:pPr>
      <w:r>
        <w:rPr>
          <w:rFonts w:ascii="Arial" w:hAnsi="Arial" w:cs="Arial"/>
        </w:rPr>
        <w:t xml:space="preserve">Step 1: On December 31st each year, calculate the city AI system’s annual total revenue and total operating costs.</w:t>
      </w:r>
    </w:p>
    <w:p>
      <w:pPr>
        <w:numPr>
          <w:ilvl w:val="0"/>
          <w:numId w:val="1011"/>
        </w:numPr>
      </w:pPr>
      <w:r>
        <w:rPr>
          <w:rFonts w:ascii="Arial" w:hAnsi="Arial" w:cs="Arial"/>
        </w:rPr>
        <w:t xml:space="preserve">Step 2: Net Revenue = Total Revenue - Operating Costs - UBI Reserve Supplementation - Security Audit Reserve.</w:t>
      </w:r>
    </w:p>
    <w:p>
      <w:pPr>
        <w:numPr>
          <w:ilvl w:val="0"/>
          <w:numId w:val="1011"/>
        </w:numPr>
      </w:pPr>
      <w:r>
        <w:rPr>
          <w:rFonts w:ascii="Arial" w:hAnsi="Arial" w:cs="Arial"/>
        </w:rPr>
        <w:t xml:space="preserve">Step 3: Dividend Pool = Net Revenue × 30% (Constitutional fixed ratio).</w:t>
      </w:r>
    </w:p>
    <w:p>
      <w:pPr>
        <w:numPr>
          <w:ilvl w:val="0"/>
          <w:numId w:val="1011"/>
        </w:numPr>
      </w:pPr>
      <w:r>
        <w:rPr>
          <w:rFonts w:ascii="Arial" w:hAnsi="Arial" w:cs="Arial"/>
        </w:rPr>
        <w:t xml:space="preserve">Step 4: Dividend per Share = Dividend Pool / Total Circulating Shares.</w:t>
      </w:r>
    </w:p>
    <w:p>
      <w:pPr>
        <w:numPr>
          <w:ilvl w:val="0"/>
          <w:numId w:val="1011"/>
        </w:numPr>
      </w:pPr>
      <w:r>
        <w:rPr>
          <w:rFonts w:ascii="Arial" w:hAnsi="Arial" w:cs="Arial"/>
        </w:rPr>
        <w:t xml:space="preserve">Step 5: Individual Dividend = Dividend per Share × Citizen’s Share Count.</w:t>
      </w:r>
    </w:p>
    <w:p>
      <w:pPr>
        <w:numPr>
          <w:ilvl w:val="0"/>
          <w:numId w:val="1011"/>
        </w:numPr>
      </w:pPr>
      <w:r>
        <w:rPr>
          <w:rFonts w:ascii="Arial" w:hAnsi="Arial" w:cs="Arial"/>
        </w:rPr>
        <w:t xml:space="preserve">Step 6: Dividends are automatically distributed to citizen digital wallets before January 15th of the following year.</w:t>
      </w:r>
    </w:p>
    <w:p>
      <w:pPr>
        <w:pStyle w:val="FirstParagraph"/>
      </w:pPr>
      <w:r>
        <w:rPr>
          <w:rFonts w:ascii="Arial" w:hAnsi="Arial" w:cs="Arial"/>
          <w:b/>
        </w:rPr>
        <w:t xml:space="preserve">4.4 Governance Weight</w:t>
      </w:r>
    </w:p>
    <w:p>
      <w:pPr>
        <w:pStyle w:val="BodyText"/>
      </w:pPr>
      <w:r>
        <w:rPr>
          <w:rFonts w:ascii="Arial" w:hAnsi="Arial" w:cs="Arial"/>
        </w:rPr>
        <w:t xml:space="preserve">Digital Equity grants holders governance weight, affecting their proposal rights on public issues: the more shares held, the higher level and broader scope of proposals one may initiate. However, governance weight does not affect voting weight——all citizens still have one vote each when voting; more equity does not mean more voting power.</w:t>
      </w:r>
    </w:p>
    <w:tbl>
      <w:tblPr>
        <w:tblStyle w:val="Table"/>
        <w:tblW w:type="pct" w:w="5000.0"/>
        <w:tblLook w:firstRow="0"/>
      </w:tblPr>
      <w:tblGrid>
        <w:gridCol w:w="1584"/>
        <w:gridCol w:w="2036"/>
        <w:gridCol w:w="4299"/>
      </w:tblGrid>
      <w:tr>
        <w:tc>
          <w:p>
            <w:pPr>
              <w:pStyle w:val="Compact"/>
              <w:jc w:val="left"/>
            </w:pPr>
            <w:r>
              <w:rPr>
                <w:rFonts w:ascii="Arial" w:hAnsi="Arial" w:cs="Arial"/>
                <w:b/>
              </w:rPr>
              <w:t xml:space="preserve">Governance Authority</w:t>
            </w:r>
          </w:p>
        </w:tc>
        <w:tc>
          <w:p>
            <w:pPr>
              <w:pStyle w:val="Compact"/>
              <w:jc w:val="left"/>
            </w:pPr>
            <w:r>
              <w:rPr>
                <w:rFonts w:ascii="Arial" w:hAnsi="Arial" w:cs="Arial"/>
                <w:b/>
              </w:rPr>
              <w:t xml:space="preserve">Minimum Share Requirement</w:t>
            </w:r>
          </w:p>
        </w:tc>
        <w:tc>
          <w:p>
            <w:pPr>
              <w:pStyle w:val="Compact"/>
              <w:jc w:val="left"/>
            </w:pPr>
            <w:r>
              <w:rPr>
                <w:rFonts w:ascii="Arial" w:hAnsi="Arial" w:cs="Arial"/>
                <w:b/>
              </w:rPr>
              <w:t xml:space="preserve">Description</w:t>
            </w:r>
          </w:p>
        </w:tc>
      </w:tr>
      <w:tr>
        <w:tc>
          <w:p>
            <w:pPr>
              <w:pStyle w:val="Compact"/>
              <w:jc w:val="left"/>
            </w:pPr>
            <w:r>
              <w:rPr>
                <w:rFonts w:ascii="Arial" w:hAnsi="Arial" w:cs="Arial"/>
              </w:rPr>
              <w:t xml:space="preserve">Community-level proposals</w:t>
            </w:r>
          </w:p>
        </w:tc>
        <w:tc>
          <w:p>
            <w:pPr>
              <w:pStyle w:val="Compact"/>
              <w:jc w:val="left"/>
            </w:pPr>
            <w:r>
              <w:rPr>
                <w:rFonts w:ascii="Arial" w:hAnsi="Arial" w:cs="Arial"/>
              </w:rPr>
              <w:t xml:space="preserve">≥ 100 shares</w:t>
            </w:r>
          </w:p>
        </w:tc>
        <w:tc>
          <w:p>
            <w:pPr>
              <w:pStyle w:val="Compact"/>
              <w:jc w:val="left"/>
            </w:pPr>
            <w:r>
              <w:rPr>
                <w:rFonts w:ascii="Arial" w:hAnsi="Arial" w:cs="Arial"/>
              </w:rPr>
              <w:t xml:space="preserve">May initiate public issue proposals within community scope</w:t>
            </w:r>
          </w:p>
        </w:tc>
      </w:tr>
      <w:tr>
        <w:tc>
          <w:p>
            <w:pPr>
              <w:pStyle w:val="Compact"/>
              <w:jc w:val="left"/>
            </w:pPr>
            <w:r>
              <w:rPr>
                <w:rFonts w:ascii="Arial" w:hAnsi="Arial" w:cs="Arial"/>
              </w:rPr>
              <w:t xml:space="preserve">District-level proposals</w:t>
            </w:r>
          </w:p>
        </w:tc>
        <w:tc>
          <w:p>
            <w:pPr>
              <w:pStyle w:val="Compact"/>
              <w:jc w:val="left"/>
            </w:pPr>
            <w:r>
              <w:rPr>
                <w:rFonts w:ascii="Arial" w:hAnsi="Arial" w:cs="Arial"/>
              </w:rPr>
              <w:t xml:space="preserve">≥ 500 shares</w:t>
            </w:r>
          </w:p>
        </w:tc>
        <w:tc>
          <w:p>
            <w:pPr>
              <w:pStyle w:val="Compact"/>
              <w:jc w:val="left"/>
            </w:pPr>
            <w:r>
              <w:rPr>
                <w:rFonts w:ascii="Arial" w:hAnsi="Arial" w:cs="Arial"/>
              </w:rPr>
              <w:t xml:space="preserve">May initiate policy proposals within district scope</w:t>
            </w:r>
          </w:p>
        </w:tc>
      </w:tr>
      <w:tr>
        <w:tc>
          <w:p>
            <w:pPr>
              <w:pStyle w:val="Compact"/>
              <w:jc w:val="left"/>
            </w:pPr>
            <w:r>
              <w:rPr>
                <w:rFonts w:ascii="Arial" w:hAnsi="Arial" w:cs="Arial"/>
              </w:rPr>
              <w:t xml:space="preserve">City-level proposals</w:t>
            </w:r>
          </w:p>
        </w:tc>
        <w:tc>
          <w:p>
            <w:pPr>
              <w:pStyle w:val="Compact"/>
              <w:jc w:val="left"/>
            </w:pPr>
            <w:r>
              <w:rPr>
                <w:rFonts w:ascii="Arial" w:hAnsi="Arial" w:cs="Arial"/>
              </w:rPr>
              <w:t xml:space="preserve">≥ 1,000 shares</w:t>
            </w:r>
          </w:p>
        </w:tc>
        <w:tc>
          <w:p>
            <w:pPr>
              <w:pStyle w:val="Compact"/>
              <w:jc w:val="left"/>
            </w:pPr>
            <w:r>
              <w:rPr>
                <w:rFonts w:ascii="Arial" w:hAnsi="Arial" w:cs="Arial"/>
              </w:rPr>
              <w:t xml:space="preserve">May initiate major policy proposals citywide</w:t>
            </w:r>
          </w:p>
        </w:tc>
      </w:tr>
      <w:tr>
        <w:tc>
          <w:p>
            <w:pPr>
              <w:pStyle w:val="Compact"/>
              <w:jc w:val="left"/>
            </w:pPr>
            <w:r>
              <w:rPr>
                <w:rFonts w:ascii="Arial" w:hAnsi="Arial" w:cs="Arial"/>
              </w:rPr>
              <w:t xml:space="preserve">Constitutional amendment proposals</w:t>
            </w:r>
          </w:p>
        </w:tc>
        <w:tc>
          <w:p>
            <w:pPr>
              <w:pStyle w:val="Compact"/>
              <w:jc w:val="left"/>
            </w:pPr>
            <w:r>
              <w:rPr>
                <w:rFonts w:ascii="Arial" w:hAnsi="Arial" w:cs="Arial"/>
              </w:rPr>
              <w:t xml:space="preserve">≥ 2,000 shares</w:t>
            </w:r>
          </w:p>
        </w:tc>
        <w:tc>
          <w:p>
            <w:pPr>
              <w:pStyle w:val="Compact"/>
              <w:jc w:val="left"/>
            </w:pPr>
            <w:r>
              <w:rPr>
                <w:rFonts w:ascii="Arial" w:hAnsi="Arial" w:cs="Arial"/>
              </w:rPr>
              <w:t xml:space="preserve">May initiate constitutional amendments (requires additional 5% citizen co-signatures)</w:t>
            </w:r>
          </w:p>
        </w:tc>
      </w:tr>
    </w:tbl>
    <w:p>
      <w:pPr>
        <w:pStyle w:val="BodyText"/>
      </w:pPr>
      <w:r>
        <w:rPr>
          <w:rFonts w:ascii="Arial" w:hAnsi="Arial" w:cs="Arial"/>
        </w:rPr>
        <w:t xml:space="preserve">The elegance of this design lies in: governance weight encourages citizens to accumulate equity (thus participating more deeply in governance), but the one-person-one-vote principle for voting ensures democratic decision-making——even if someone holds a large amount of equity, they cannot dominate decisions through voting weight.</w:t>
      </w:r>
    </w:p>
    <w:p>
      <w:pPr>
        <w:pStyle w:val="BodyText"/>
      </w:pPr>
      <w:r>
        <w:rPr>
          <w:rFonts w:ascii="Arial" w:hAnsi="Arial" w:cs="Arial"/>
          <w:b/>
        </w:rPr>
        <w:t xml:space="preserve">4.5 Exit Procedures</w:t>
      </w:r>
    </w:p>
    <w:p>
      <w:pPr>
        <w:pStyle w:val="BodyText"/>
      </w:pPr>
      <w:r>
        <w:rPr>
          <w:rFonts w:ascii="Arial" w:hAnsi="Arial" w:cs="Arial"/>
        </w:rPr>
        <w:t>When a citizen exits DAOTONG, their Digital Equity is handled following the principle of “partial portability, partial return”:</w:t>
      </w:r>
    </w:p>
    <w:p>
      <w:pPr>
        <w:numPr>
          <w:ilvl w:val="0"/>
          <w:numId w:val="1012"/>
        </w:numPr>
      </w:pPr>
      <w:r>
        <w:rPr>
          <w:rFonts w:ascii="Arial" w:hAnsi="Arial" w:cs="Arial"/>
          <w:b/>
        </w:rPr>
        <w:t xml:space="preserve">Portable portion (40%):</w:t>
      </w:r>
      <w:r>
        <w:rPr>
          <w:rFonts w:ascii="Arial" w:hAnsi="Arial" w:cs="Arial"/>
        </w:rPr>
        <w:t xml:space="preserve"> Exiting citizens may take 40% of their equity value, transferred as equivalent digital assets to compatible systems in destination cities (if cooperation agreements exist), or exchanged for fiat currency.</w:t>
      </w:r>
    </w:p>
    <w:p>
      <w:pPr>
        <w:numPr>
          <w:ilvl w:val="0"/>
          <w:numId w:val="1012"/>
        </w:numPr>
      </w:pPr>
      <w:r>
        <w:rPr>
          <w:rFonts w:ascii="Arial" w:hAnsi="Arial" w:cs="Arial"/>
          <w:b/>
        </w:rPr>
        <w:t xml:space="preserve">Return to public pool (60%):</w:t>
      </w:r>
      <w:r>
        <w:rPr>
          <w:rFonts w:ascii="Arial" w:hAnsi="Arial" w:cs="Arial"/>
        </w:rPr>
        <w:t xml:space="preserve"> The remaining 60% automatically returns to the public equity pool, redistributed by the system to newly joined citizens, ensuring stable total equity.</w:t>
      </w:r>
    </w:p>
    <w:p>
      <w:pPr>
        <w:pStyle w:val="FirstParagraph"/>
      </w:pPr>
      <w:r>
        <w:rPr>
          <w:rFonts w:ascii="Arial" w:hAnsi="Arial" w:cs="Arial"/>
        </w:rPr>
        <w:t>Considerations for this ratio: 60% return ensures the public equity pool does not deplete due to population mobility; 40% portability protects citizens’ partial property rights, avoiding the unfairness of “full confiscation.” Exit procedures are automatically executed when citizens deregister, with the entire process taking approximately 7 working days.</w:t>
      </w:r>
    </w:p>
    <w:p>
      <w:pPr>
        <w:pStyle w:val="BodyText"/>
      </w:pPr>
      <w:r>
        <w:rPr>
          <w:rFonts w:ascii="Arial" w:hAnsi="Arial" w:cs="Arial"/>
          <w:b/>
        </w:rPr>
        <w:t xml:space="preserve">4.6 Non-Transferability</w:t>
      </w:r>
    </w:p>
    <w:p>
      <w:pPr>
        <w:pStyle w:val="BodyText"/>
      </w:pPr>
      <w:r>
        <w:rPr>
          <w:rFonts w:ascii="Arial" w:hAnsi="Arial" w:cs="Arial"/>
        </w:rPr>
        <w:t xml:space="preserve">The core constraint of Digital Equity is: non-purchasable, non-transferable, non-mortgageable. This constraint is hardcoded into the Smart Contract, technically eliminating the possibility of equity trading. Design rationale is threefold: First, preventing equity concentration——if trading were allowed, capital forces would inevitably acquire equity, ultimately resulting in a minority controlling most equity, contradicting the principle of universal equality; Second, preventing speculation——equity should represent a citizen’s long-term commitment to the city, not a short-term arbitrage tool; Third, maintaining governance fairness——if equity were tradeable, governance weight would also become purchasable, which is an erosion of democratic principles.</w:t>
      </w:r>
    </w:p>
    <w:p>
      <w:pPr>
        <w:pStyle w:val="BodyText"/>
      </w:pPr>
      <w:r>
        <w:rPr>
          <w:rFonts w:ascii="Arial" w:hAnsi="Arial" w:cs="Arial"/>
          <w:b/>
        </w:rPr>
        <w:t xml:space="preserve">4.7 Verification Methods</w:t>
      </w:r>
    </w:p>
    <w:p>
      <w:pPr>
        <w:numPr>
          <w:ilvl w:val="0"/>
          <w:numId w:val="1013"/>
        </w:numPr>
      </w:pPr>
      <w:r>
        <w:rPr>
          <w:rFonts w:ascii="Arial" w:hAnsi="Arial" w:cs="Arial"/>
          <w:b/>
        </w:rPr>
        <w:t xml:space="preserve">Equity Allocation Verification:</w:t>
      </w:r>
      <w:r>
        <w:rPr>
          <w:rFonts w:ascii="Arial" w:hAnsi="Arial" w:cs="Arial"/>
        </w:rPr>
        <w:t xml:space="preserve"> Monthly cross-reference of citizen registry and equity holding records to ensure 1:1 correspondence.</w:t>
      </w:r>
    </w:p>
    <w:p>
      <w:pPr>
        <w:numPr>
          <w:ilvl w:val="0"/>
          <w:numId w:val="1013"/>
        </w:numPr>
      </w:pPr>
      <w:r>
        <w:rPr>
          <w:rFonts w:ascii="Arial" w:hAnsi="Arial" w:cs="Arial"/>
          <w:b/>
        </w:rPr>
        <w:t xml:space="preserve">Dividend Calculation Verification:</w:t>
      </w:r>
      <w:r>
        <w:rPr>
          <w:rFonts w:ascii="Arial" w:hAnsi="Arial" w:cs="Arial"/>
        </w:rPr>
        <w:t xml:space="preserve"> After annual dividends, independent audit institutions verify the accuracy of net revenue calculation and dividend distribution.</w:t>
      </w:r>
    </w:p>
    <w:p>
      <w:pPr>
        <w:numPr>
          <w:ilvl w:val="0"/>
          <w:numId w:val="1013"/>
        </w:numPr>
      </w:pPr>
      <w:r>
        <w:rPr>
          <w:rFonts w:ascii="Arial" w:hAnsi="Arial" w:cs="Arial"/>
          <w:b/>
        </w:rPr>
        <w:t xml:space="preserve">Non-Transferability Verification:</w:t>
      </w:r>
      <w:r>
        <w:rPr>
          <w:rFonts w:ascii="Arial" w:hAnsi="Arial" w:cs="Arial"/>
        </w:rPr>
        <w:t xml:space="preserve"> Quarterly penetration testing, attempting equity transfers through contract vulnerabilities or frontend bypassing to verify protective effectiveness.</w:t>
      </w:r>
    </w:p>
    <w:p>
      <w:pPr>
        <w:numPr>
          <w:ilvl w:val="0"/>
          <w:numId w:val="1013"/>
        </w:numPr>
      </w:pPr>
      <w:r>
        <w:rPr>
          <w:rFonts w:ascii="Arial" w:hAnsi="Arial" w:cs="Arial"/>
          <w:b/>
        </w:rPr>
        <w:t xml:space="preserve">Exit Procedure Verification:</w:t>
      </w:r>
      <w:r>
        <w:rPr>
          <w:rFonts w:ascii="Arial" w:hAnsi="Arial" w:cs="Arial"/>
        </w:rPr>
        <w:t xml:space="preserve"> Semi-annually simulate exit scenarios to verify the correctness of portability/return ratios and execution processes.</w:t>
      </w:r>
    </w:p>
    <w:p>
      <w:pPr>
        <w:pStyle w:val="FirstParagraph"/>
      </w:pPr>
      <w:r>
        <w:rPr>
          <w:rFonts w:ascii="Arial" w:hAnsi="Arial" w:cs="Arial"/>
          <w:b/>
        </w:rPr>
        <w:t xml:space="preserve">Chapter 5 On-Chain Fiscal Transparency System——The End of Corruption</w:t>
      </w:r>
    </w:p>
    <w:p>
      <w:pPr>
        <w:pStyle w:val="BodyText"/>
      </w:pPr>
      <w:r>
        <w:rPr>
          <w:rFonts w:ascii="Arial" w:hAnsi="Arial" w:cs="Arial"/>
          <w:b/>
        </w:rPr>
        <w:t xml:space="preserve">5.1 Design Philosophy</w:t>
      </w:r>
    </w:p>
    <w:p>
      <w:pPr>
        <w:pStyle w:val="BodyText"/>
      </w:pPr>
      <w:r>
        <w:rPr>
          <w:rFonts w:ascii="Arial" w:hAnsi="Arial" w:cs="Arial"/>
        </w:rPr>
        <w:t xml:space="preserve">The essence of corruption is opacity: when power exercise and capital flow are not supervised, corruption is almost inevitable. DAOTONG’s On-chain Fiscal Transparency System eliminates the possibility of opacity from the technical architecture level——not relying on human moral consciousness, but ensuring that every cent’s flow can be tracked, verified, and accounted for through technological enforcement.</w:t>
      </w:r>
    </w:p>
    <w:p>
      <w:pPr>
        <w:pStyle w:val="BodyText"/>
      </w:pPr>
      <w:r>
        <w:rPr>
          <w:rFonts w:ascii="Arial" w:hAnsi="Arial" w:cs="Arial"/>
        </w:rPr>
        <w:t>This system comprises three core components: real-time public dashboard, AI budget allocation algorithm, and multi-signature authorization mechanism. The three work in concert to form a complete closed loop of “transparency-automation-check-and-balance.”</w:t>
      </w:r>
    </w:p>
    <w:p>
      <w:pPr>
        <w:pStyle w:val="BodyText"/>
      </w:pPr>
      <w:r>
        <w:rPr>
          <w:rFonts w:ascii="Arial" w:hAnsi="Arial" w:cs="Arial"/>
          <w:b/>
        </w:rPr>
        <w:t xml:space="preserve">5.2 Real-Time Public Dashboard</w:t>
      </w:r>
    </w:p>
    <w:p>
      <w:pPr>
        <w:pStyle w:val="BodyText"/>
      </w:pPr>
      <w:r>
        <w:rPr>
          <w:rFonts w:ascii="Arial" w:hAnsi="Arial" w:cs="Arial"/>
          <w:b/>
        </w:rPr>
        <w:t xml:space="preserve">5.2.1 Functional Specifications</w:t>
      </w:r>
    </w:p>
    <w:p>
      <w:pPr>
        <w:pStyle w:val="BodyText"/>
      </w:pPr>
      <w:r>
        <w:rPr>
          <w:rFonts w:ascii="Arial" w:hAnsi="Arial" w:cs="Arial"/>
        </w:rPr>
        <w:t xml:space="preserve">The public dashboard is the citizen-facing interface for On-chain fiscal data, providing the following core functions:</w:t>
      </w:r>
    </w:p>
    <w:p>
      <w:pPr>
        <w:numPr>
          <w:ilvl w:val="0"/>
          <w:numId w:val="1014"/>
        </w:numPr>
      </w:pPr>
      <w:r>
        <w:rPr>
          <w:rFonts w:ascii="Arial" w:hAnsi="Arial" w:cs="Arial"/>
          <w:b/>
        </w:rPr>
        <w:t xml:space="preserve">Treasury Overview:</w:t>
      </w:r>
      <w:r>
        <w:rPr>
          <w:rFonts w:ascii="Arial" w:hAnsi="Arial" w:cs="Arial"/>
        </w:rPr>
        <w:t xml:space="preserve"> Real-time display of Treasury balance, monthly total income and expenditure, reserve levels, emergency reserve status.</w:t>
      </w:r>
    </w:p>
    <w:p>
      <w:pPr>
        <w:numPr>
          <w:ilvl w:val="0"/>
          <w:numId w:val="1014"/>
        </w:numPr>
      </w:pPr>
      <w:r>
        <w:rPr>
          <w:rFonts w:ascii="Arial" w:hAnsi="Arial" w:cs="Arial"/>
          <w:b/>
        </w:rPr>
        <w:t xml:space="preserve">Transaction Details:</w:t>
      </w:r>
      <w:r>
        <w:rPr>
          <w:rFonts w:ascii="Arial" w:hAnsi="Arial" w:cs="Arial"/>
        </w:rPr>
        <w:t xml:space="preserve"> Detailed information for each transaction——time, amount, source/destination, transaction hash, authorization signatures.</w:t>
      </w:r>
    </w:p>
    <w:p>
      <w:pPr>
        <w:numPr>
          <w:ilvl w:val="0"/>
          <w:numId w:val="1014"/>
        </w:numPr>
      </w:pPr>
      <w:r>
        <w:rPr>
          <w:rFonts w:ascii="Arial" w:hAnsi="Arial" w:cs="Arial"/>
          <w:b/>
        </w:rPr>
        <w:t xml:space="preserve">Budget Execution:</w:t>
      </w:r>
      <w:r>
        <w:rPr>
          <w:rFonts w:ascii="Arial" w:hAnsi="Arial" w:cs="Arial"/>
        </w:rPr>
        <w:t xml:space="preserve"> Execution progress for each budget item, allocated amounts, remaining budget, execution deviation.</w:t>
      </w:r>
    </w:p>
    <w:p>
      <w:pPr>
        <w:numPr>
          <w:ilvl w:val="0"/>
          <w:numId w:val="1014"/>
        </w:numPr>
      </w:pPr>
      <w:r>
        <w:rPr>
          <w:rFonts w:ascii="Arial" w:hAnsi="Arial" w:cs="Arial"/>
          <w:b/>
        </w:rPr>
        <w:t xml:space="preserve">Trend Analysis:</w:t>
      </w:r>
      <w:r>
        <w:rPr>
          <w:rFonts w:ascii="Arial" w:hAnsi="Arial" w:cs="Arial"/>
        </w:rPr>
        <w:t xml:space="preserve"> Monthly/quarterly/annual income and expenditure trend charts, income structure changes, expenditure distribution changes.</w:t>
      </w:r>
    </w:p>
    <w:p>
      <w:pPr>
        <w:numPr>
          <w:ilvl w:val="0"/>
          <w:numId w:val="1014"/>
        </w:numPr>
      </w:pPr>
      <w:r>
        <w:rPr>
          <w:rFonts w:ascii="Arial" w:hAnsi="Arial" w:cs="Arial"/>
          <w:b/>
        </w:rPr>
        <w:t xml:space="preserve">Anomaly Alerts:</w:t>
      </w:r>
      <w:r>
        <w:rPr>
          <w:rFonts w:ascii="Arial" w:hAnsi="Arial" w:cs="Arial"/>
        </w:rPr>
        <w:t xml:space="preserve"> Abnormal expenditures, budget overruns, unauthorized transactions, etc., pushed in real-time to subscribed citizens.</w:t>
      </w:r>
    </w:p>
    <w:p>
      <w:pPr>
        <w:numPr>
          <w:ilvl w:val="0"/>
          <w:numId w:val="1014"/>
        </w:numPr>
      </w:pPr>
      <w:r>
        <w:rPr>
          <w:rFonts w:ascii="Arial" w:hAnsi="Arial" w:cs="Arial"/>
          <w:b/>
        </w:rPr>
        <w:t xml:space="preserve">Audit Reports:</w:t>
      </w:r>
      <w:r>
        <w:rPr>
          <w:rFonts w:ascii="Arial" w:hAnsi="Arial" w:cs="Arial"/>
        </w:rPr>
        <w:t xml:space="preserve"> Historical audit report archives, independent audit institution opinions, remediation tracking.</w:t>
      </w:r>
    </w:p>
    <w:p>
      <w:pPr>
        <w:pStyle w:val="FirstParagraph"/>
      </w:pPr>
      <w:r>
        <w:rPr>
          <w:rFonts w:ascii="Arial" w:hAnsi="Arial" w:cs="Arial"/>
          <w:b/>
        </w:rPr>
        <w:t xml:space="preserve">5.2.2 Data Sources and Technical Implementation</w:t>
      </w:r>
    </w:p>
    <w:p>
      <w:pPr>
        <w:pStyle w:val="BodyText"/>
      </w:pPr>
      <w:r>
        <w:rPr>
          <w:rFonts w:ascii="Arial" w:hAnsi="Arial" w:cs="Arial"/>
        </w:rPr>
        <w:t xml:space="preserve">Dashboard data is sourced directly from blockchain nodes, without passing through any intermediate database or cache layer. Technical architecture:</w:t>
      </w:r>
    </w:p>
    <w:p>
      <w:pPr>
        <w:numPr>
          <w:ilvl w:val="0"/>
          <w:numId w:val="1015"/>
        </w:numPr>
      </w:pPr>
      <w:r>
        <w:rPr>
          <w:rFonts w:ascii="Arial" w:hAnsi="Arial" w:cs="Arial"/>
        </w:rPr>
        <w:t xml:space="preserve">Blockchain event listeners capture all state change events of the Treasury contract in real-time.</w:t>
      </w:r>
    </w:p>
    <w:p>
      <w:pPr>
        <w:numPr>
          <w:ilvl w:val="0"/>
          <w:numId w:val="1015"/>
        </w:numPr>
      </w:pPr>
      <w:r>
        <w:rPr>
          <w:rFonts w:ascii="Arial" w:hAnsi="Arial" w:cs="Arial"/>
        </w:rPr>
        <w:t xml:space="preserve">After deduplication and formatting, event streams are pushed to a distributed message queue.</w:t>
      </w:r>
    </w:p>
    <w:p>
      <w:pPr>
        <w:numPr>
          <w:ilvl w:val="0"/>
          <w:numId w:val="1015"/>
        </w:numPr>
      </w:pPr>
      <w:r>
        <w:rPr>
          <w:rFonts w:ascii="Arial" w:hAnsi="Arial" w:cs="Arial"/>
        </w:rPr>
        <w:t xml:space="preserve">The dashboard frontend subscribes to the message queue via WebSocket, achieving millisecond-level data updates.</w:t>
      </w:r>
    </w:p>
    <w:p>
      <w:pPr>
        <w:numPr>
          <w:ilvl w:val="0"/>
          <w:numId w:val="1015"/>
        </w:numPr>
      </w:pPr>
      <w:r>
        <w:rPr>
          <w:rFonts w:ascii="Arial" w:hAnsi="Arial" w:cs="Arial"/>
        </w:rPr>
        <w:t xml:space="preserve">All historical data can be queried directly through blockchain RPC interfaces, without depending on dashboard services.</w:t>
      </w:r>
    </w:p>
    <w:p>
      <w:pPr>
        <w:pStyle w:val="FirstParagraph"/>
      </w:pPr>
      <w:r>
        <w:rPr>
          <w:rFonts w:ascii="Arial" w:hAnsi="Arial" w:cs="Arial"/>
        </w:rPr>
        <w:t xml:space="preserve">This means even if the dashboard service is temporarily unavailable, citizens can still query all fiscal data directly through a blockchain explorer——transparency does not depend on any single service.</w:t>
      </w:r>
    </w:p>
    <w:p>
      <w:pPr>
        <w:pStyle w:val="BodyText"/>
      </w:pPr>
      <w:r>
        <w:rPr>
          <w:rFonts w:ascii="Arial" w:hAnsi="Arial" w:cs="Arial"/>
          <w:b/>
        </w:rPr>
        <w:t xml:space="preserve">5.3 AI Budget Allocation Algorithm</w:t>
      </w:r>
    </w:p>
    <w:p>
      <w:pPr>
        <w:pStyle w:val="BodyText"/>
      </w:pPr>
      <w:r>
        <w:rPr>
          <w:rFonts w:ascii="Arial" w:hAnsi="Arial" w:cs="Arial"/>
          <w:b/>
        </w:rPr>
        <w:t xml:space="preserve">5.3.1 Algorithm Logic</w:t>
      </w:r>
    </w:p>
    <w:p>
      <w:pPr>
        <w:pStyle w:val="BodyText"/>
      </w:pPr>
      <w:r>
        <w:rPr>
          <w:rFonts w:ascii="Arial" w:hAnsi="Arial" w:cs="Arial"/>
        </w:rPr>
        <w:t>The AI budget allocation algorithm is the “autopilot system” for the Treasury’s daily operations. Its core logic follows constitutional expenditure priority, and after ensuring rigid expenditures, allocates remaining funds to various projects according to an optimization model. Algorithm inputs include: revenue forecasts (based on historical data and macroeconomic indicators), committed expenditures (UBI, ongoing projects, etc.), reserve requirements, priority scores and funding needs for each project.</w:t>
      </w:r>
    </w:p>
    <w:p>
      <w:pPr>
        <w:pStyle w:val="BodyText"/>
      </w:pPr>
      <w:r>
        <w:rPr>
          <w:rFonts w:ascii="Arial" w:hAnsi="Arial" w:cs="Arial"/>
        </w:rPr>
        <w:t xml:space="preserve">Algorithm output is a weekly fund disbursement plan, automatically executed after review and approval by the AI monitoring system. Review focus: whether it complies with constitutional priorities, whether it exceeds budget limits, whether any anomalous patterns exist. Any non-compliant disbursement plan is rejected and requires manual review.</w:t>
      </w:r>
    </w:p>
    <w:p>
      <w:pPr>
        <w:pStyle w:val="BodyText"/>
      </w:pPr>
      <w:r>
        <w:rPr>
          <w:rFonts w:ascii="Arial" w:hAnsi="Arial" w:cs="Arial"/>
          <w:b/>
        </w:rPr>
        <w:t xml:space="preserve">5.3.2 Smart Contract Interface Description</w:t>
      </w:r>
    </w:p>
    <w:p>
      <w:pPr>
        <w:pStyle w:val="BodyText"/>
      </w:pPr>
      <w:r>
        <w:rPr>
          <w:rFonts w:ascii="Arial" w:hAnsi="Arial" w:cs="Arial"/>
        </w:rPr>
        <w:t xml:space="preserve">The Treasury Smart Contract core interface is defined as follows:</w:t>
      </w:r>
    </w:p>
    <w:p>
      <w:pPr>
        <w:pStyle w:val="BodyText"/>
      </w:pPr>
      <w:r>
        <w:rPr>
          <w:rFonts w:ascii="Arial" w:hAnsi="Arial" w:cs="Arial"/>
        </w:rPr>
        <w:t xml:space="preserve">contract DAOTONGTreasury {</w:t>
      </w:r>
    </w:p>
    <w:p>
      <w:pPr>
        <w:pStyle w:val="BlockText"/>
      </w:pPr>
      <w:r>
        <w:rPr>
          <w:rFonts w:ascii="Arial" w:hAnsi="Arial" w:cs="Arial"/>
        </w:rPr>
        <w:t xml:space="preserve">// Query interfaces (read-only, callable by anyone)</w:t>
      </w:r>
    </w:p>
    <w:p>
      <w:pPr>
        <w:pStyle w:val="BlockText"/>
      </w:pPr>
      <w:r>
        <w:rPr>
          <w:rFonts w:ascii="Arial" w:hAnsi="Arial" w:cs="Arial"/>
        </w:rPr>
        <w:t xml:space="preserve">function getBalance() view returns (uint256);</w:t>
      </w:r>
    </w:p>
    <w:p>
      <w:pPr>
        <w:pStyle w:val="BlockText"/>
      </w:pPr>
      <w:r>
        <w:rPr>
          <w:rFonts w:ascii="Arial" w:hAnsi="Arial" w:cs="Arial"/>
        </w:rPr>
        <w:t xml:space="preserve">function getReserveLevel() view returns (uint256);</w:t>
      </w:r>
    </w:p>
    <w:p>
      <w:pPr>
        <w:pStyle w:val="BlockText"/>
      </w:pPr>
      <w:r>
        <w:rPr>
          <w:rFonts w:ascii="Arial" w:hAnsi="Arial" w:cs="Arial"/>
        </w:rPr>
        <w:t xml:space="preserve">function getTransactionHistory(uint256 from, uint256 to) view returns (Tx[]);</w:t>
      </w:r>
    </w:p>
    <w:p>
      <w:pPr>
        <w:pStyle w:val="BlockText"/>
      </w:pPr>
      <w:r>
        <w:rPr>
          <w:rFonts w:ascii="Arial" w:hAnsi="Arial" w:cs="Arial"/>
        </w:rPr>
        <w:t xml:space="preserve">function getBudgetExecution(string project_id) view returns (BudgetStatus);</w:t>
      </w:r>
    </w:p>
    <w:p>
      <w:pPr>
        <w:pStyle w:val="BlockText"/>
      </w:pPr>
      <w:r>
        <w:rPr>
          <w:rFonts w:ascii="Arial" w:hAnsi="Arial" w:cs="Arial"/>
        </w:rPr>
        <w:t xml:space="preserve">// Execution interfaces (requires authorization)</w:t>
      </w:r>
    </w:p>
    <w:p>
      <w:pPr>
        <w:pStyle w:val="BlockText"/>
      </w:pPr>
      <w:r>
        <w:rPr>
          <w:rFonts w:ascii="Arial" w:hAnsi="Arial" w:cs="Arial"/>
        </w:rPr>
        <w:t xml:space="preserve">function disburseUBI(Citizen[] calldata citizens) onlyAuthorized;</w:t>
      </w:r>
    </w:p>
    <w:p>
      <w:pPr>
        <w:pStyle w:val="BlockText"/>
      </w:pPr>
      <w:r>
        <w:rPr>
          <w:rFonts w:ascii="Arial" w:hAnsi="Arial" w:cs="Arial"/>
        </w:rPr>
        <w:t xml:space="preserve">function fundProject(string project_id, uint256 amount) onlyMultiSig;</w:t>
      </w:r>
    </w:p>
    <w:p>
      <w:pPr>
        <w:pStyle w:val="BlockText"/>
      </w:pPr>
      <w:r>
        <w:rPr>
          <w:rFonts w:ascii="Arial" w:hAnsi="Arial" w:cs="Arial"/>
        </w:rPr>
        <w:t xml:space="preserve">function emergencyReserve(uint256 amount) onlyElderCouncil;</w:t>
      </w:r>
    </w:p>
    <w:p>
      <w:pPr>
        <w:pStyle w:val="BlockText"/>
      </w:pPr>
      <w:r>
        <w:rPr>
          <w:rFonts w:ascii="Arial" w:hAnsi="Arial" w:cs="Arial"/>
        </w:rPr>
        <w:t xml:space="preserve">// Events</w:t>
      </w:r>
    </w:p>
    <w:p>
      <w:pPr>
        <w:pStyle w:val="BlockText"/>
      </w:pPr>
      <w:r>
        <w:rPr>
          <w:rFonts w:ascii="Arial" w:hAnsi="Arial" w:cs="Arial"/>
        </w:rPr>
        <w:t xml:space="preserve">event Deposit(address from, uint256 amount, string category);</w:t>
      </w:r>
    </w:p>
    <w:p>
      <w:pPr>
        <w:pStyle w:val="BlockText"/>
      </w:pPr>
      <w:r>
        <w:rPr>
          <w:rFonts w:ascii="Arial" w:hAnsi="Arial" w:cs="Arial"/>
        </w:rPr>
        <w:t xml:space="preserve">event Withdrawal(address to, uint256 amount, string purpose);</w:t>
      </w:r>
    </w:p>
    <w:p>
      <w:pPr>
        <w:pStyle w:val="BlockText"/>
      </w:pPr>
      <w:r>
        <w:rPr>
          <w:rFonts w:ascii="Arial" w:hAnsi="Arial" w:cs="Arial"/>
        </w:rPr>
        <w:t xml:space="preserve">event MultiSigRequired(uint256 txId, uint8 requiredSigs);</w:t>
      </w:r>
    </w:p>
    <w:p>
      <w:pPr>
        <w:pStyle w:val="FirstParagraph"/>
      </w:pPr>
      <w:r>
        <w:rPr>
          <w:rFonts w:ascii="Arial" w:hAnsi="Arial" w:cs="Arial"/>
          <w:b/>
        </w:rPr>
        <w:t xml:space="preserve">5.4 Multi-Signature Authorization Mechanism</w:t>
      </w:r>
    </w:p>
    <w:p>
      <w:pPr>
        <w:pStyle w:val="BodyText"/>
      </w:pPr>
      <w:r>
        <w:rPr>
          <w:rFonts w:ascii="Arial" w:hAnsi="Arial" w:cs="Arial"/>
        </w:rPr>
        <w:t>The multi-signature authorization serves as the “safety valve” for on-chain fiscal transparency, preventing AI systems orminority from arbitrarily accessing large funds. Specific rules are as follows:</w:t>
      </w:r>
    </w:p>
    <w:tbl>
      <w:tblPr>
        <w:tblStyle w:val="Table"/>
        <w:tblW w:type="pct" w:w="5000.0"/>
        <w:tblLook w:firstRow="0"/>
      </w:tblPr>
      <w:tblGrid>
        <w:gridCol w:w="2205"/>
        <w:gridCol w:w="2506"/>
        <w:gridCol w:w="1303"/>
        <w:gridCol w:w="1904"/>
      </w:tblGrid>
      <w:tr>
        <w:tc>
          <w:p>
            <w:pPr>
              <w:pStyle w:val="Compact"/>
              <w:jc w:val="left"/>
            </w:pPr>
            <w:r>
              <w:rPr>
                <w:rFonts w:ascii="Arial" w:hAnsi="Arial" w:cs="Arial"/>
                <w:b/>
              </w:rPr>
              <w:t xml:space="preserve">Expenditure Type</w:t>
            </w:r>
          </w:p>
        </w:tc>
        <w:tc>
          <w:p>
            <w:pPr>
              <w:pStyle w:val="Compact"/>
              <w:jc w:val="left"/>
            </w:pPr>
            <w:r>
              <w:rPr>
                <w:rFonts w:ascii="Arial" w:hAnsi="Arial" w:cs="Arial"/>
                <w:b/>
              </w:rPr>
              <w:t xml:space="preserve">Authorization Requirements</w:t>
            </w:r>
          </w:p>
        </w:tc>
        <w:tc>
          <w:p>
            <w:pPr>
              <w:pStyle w:val="Compact"/>
              <w:jc w:val="left"/>
            </w:pPr>
            <w:r>
              <w:rPr>
                <w:rFonts w:ascii="Arial" w:hAnsi="Arial" w:cs="Arial"/>
                <w:b/>
              </w:rPr>
              <w:t xml:space="preserve">Time Limit</w:t>
            </w:r>
          </w:p>
        </w:tc>
        <w:tc>
          <w:p>
            <w:pPr>
              <w:pStyle w:val="Compact"/>
              <w:jc w:val="left"/>
            </w:pPr>
            <w:r>
              <w:rPr>
                <w:rFonts w:ascii="Arial" w:hAnsi="Arial" w:cs="Arial"/>
                <w:b/>
              </w:rPr>
              <w:t xml:space="preserve">Transparency</w:t>
            </w:r>
          </w:p>
        </w:tc>
      </w:tr>
      <w:tr>
        <w:tc>
          <w:p>
            <w:pPr>
              <w:pStyle w:val="Compact"/>
              <w:jc w:val="left"/>
            </w:pPr>
            <w:r>
              <w:rPr>
                <w:rFonts w:ascii="Arial" w:hAnsi="Arial" w:cs="Arial"/>
              </w:rPr>
              <w:t xml:space="preserve">Routine UBI Distribution</w:t>
            </w:r>
          </w:p>
        </w:tc>
        <w:tc>
          <w:p>
            <w:pPr>
              <w:pStyle w:val="Compact"/>
              <w:jc w:val="left"/>
            </w:pPr>
            <w:r>
              <w:rPr>
                <w:rFonts w:ascii="Arial" w:hAnsi="Arial" w:cs="Arial"/>
              </w:rPr>
              <w:t xml:space="preserve">AI auto-execution, no multi-sig required</w:t>
            </w:r>
          </w:p>
        </w:tc>
        <w:tc>
          <w:p>
            <w:pPr>
              <w:pStyle w:val="Compact"/>
              <w:jc w:val="left"/>
            </w:pPr>
            <w:r>
              <w:rPr>
                <w:rFonts w:ascii="Arial" w:hAnsi="Arial" w:cs="Arial"/>
              </w:rPr>
              <w:t xml:space="preserve">Monthly, 1st day auto</w:t>
            </w:r>
          </w:p>
        </w:tc>
        <w:tc>
          <w:p>
            <w:pPr>
              <w:pStyle w:val="Compact"/>
              <w:jc w:val="left"/>
            </w:pPr>
            <w:r>
              <w:rPr>
                <w:rFonts w:ascii="Arial" w:hAnsi="Arial" w:cs="Arial"/>
              </w:rPr>
              <w:t xml:space="preserve">Fully public</w:t>
            </w:r>
          </w:p>
        </w:tc>
      </w:tr>
      <w:tr>
        <w:tc>
          <w:p>
            <w:pPr>
              <w:pStyle w:val="Compact"/>
              <w:jc w:val="left"/>
            </w:pPr>
            <w:r>
              <w:rPr>
                <w:rFonts w:ascii="Arial" w:hAnsi="Arial" w:cs="Arial"/>
              </w:rPr>
              <w:t xml:space="preserve">Regular Project Allocations</w:t>
            </w:r>
          </w:p>
        </w:tc>
        <w:tc>
          <w:p>
            <w:pPr>
              <w:pStyle w:val="Compact"/>
              <w:jc w:val="left"/>
            </w:pPr>
            <w:r>
              <w:rPr>
                <w:rFonts w:ascii="Arial" w:hAnsi="Arial" w:cs="Arial"/>
              </w:rPr>
              <w:t xml:space="preserve">AI system + 1 Elder Council member</w:t>
            </w:r>
          </w:p>
        </w:tc>
        <w:tc>
          <w:p>
            <w:pPr>
              <w:pStyle w:val="Compact"/>
              <w:jc w:val="left"/>
            </w:pPr>
            <w:r>
              <w:rPr>
                <w:rFonts w:ascii="Arial" w:hAnsi="Arial" w:cs="Arial"/>
              </w:rPr>
              <w:t xml:space="preserve">72 hours</w:t>
            </w:r>
          </w:p>
        </w:tc>
        <w:tc>
          <w:p>
            <w:pPr>
              <w:pStyle w:val="Compact"/>
              <w:jc w:val="left"/>
            </w:pPr>
            <w:r>
              <w:rPr>
                <w:rFonts w:ascii="Arial" w:hAnsi="Arial" w:cs="Arial"/>
              </w:rPr>
              <w:t xml:space="preserve">Fully public</w:t>
            </w:r>
          </w:p>
        </w:tc>
      </w:tr>
      <w:tr>
        <w:tc>
          <w:p>
            <w:pPr>
              <w:pStyle w:val="Compact"/>
              <w:jc w:val="left"/>
            </w:pPr>
            <w:r>
              <w:rPr>
                <w:rFonts w:ascii="Arial" w:hAnsi="Arial" w:cs="Arial"/>
              </w:rPr>
              <w:t xml:space="preserve">Large Expenditure (&gt;Daily Average 200%)</w:t>
            </w:r>
          </w:p>
        </w:tc>
        <w:tc>
          <w:p>
            <w:pPr>
              <w:pStyle w:val="Compact"/>
              <w:jc w:val="left"/>
            </w:pPr>
            <w:r>
              <w:rPr>
                <w:rFonts w:ascii="Arial" w:hAnsi="Arial" w:cs="Arial"/>
              </w:rPr>
              <w:t xml:space="preserve">3 Elders + 5 Citizen Representatives</w:t>
            </w:r>
          </w:p>
        </w:tc>
        <w:tc>
          <w:p>
            <w:pPr>
              <w:pStyle w:val="Compact"/>
              <w:jc w:val="left"/>
            </w:pPr>
            <w:r>
              <w:rPr>
                <w:rFonts w:ascii="Arial" w:hAnsi="Arial" w:cs="Arial"/>
              </w:rPr>
              <w:t xml:space="preserve">48 hours</w:t>
            </w:r>
          </w:p>
        </w:tc>
        <w:tc>
          <w:p>
            <w:pPr>
              <w:pStyle w:val="Compact"/>
              <w:jc w:val="left"/>
            </w:pPr>
            <w:r>
              <w:rPr>
                <w:rFonts w:ascii="Arial" w:hAnsi="Arial" w:cs="Arial"/>
              </w:rPr>
              <w:t xml:space="preserve">Fully public + announcement</w:t>
            </w:r>
          </w:p>
        </w:tc>
      </w:tr>
      <w:tr>
        <w:tc>
          <w:p>
            <w:pPr>
              <w:pStyle w:val="Compact"/>
              <w:jc w:val="left"/>
            </w:pPr>
            <w:r>
              <w:rPr>
                <w:rFonts w:ascii="Arial" w:hAnsi="Arial" w:cs="Arial"/>
              </w:rPr>
              <w:t xml:space="preserve">Emergency Reserve Utilization</w:t>
            </w:r>
          </w:p>
        </w:tc>
        <w:tc>
          <w:p>
            <w:pPr>
              <w:pStyle w:val="Compact"/>
              <w:jc w:val="left"/>
            </w:pPr>
            <w:r>
              <w:rPr>
                <w:rFonts w:ascii="Arial" w:hAnsi="Arial" w:cs="Arial"/>
              </w:rPr>
              <w:t xml:space="preserve">Majority Elder Council + Emergency Referendum</w:t>
            </w:r>
          </w:p>
        </w:tc>
        <w:tc>
          <w:p>
            <w:pPr>
              <w:pStyle w:val="Compact"/>
              <w:jc w:val="left"/>
            </w:pPr>
            <w:r>
              <w:rPr>
                <w:rFonts w:ascii="Arial" w:hAnsi="Arial" w:cs="Arial"/>
              </w:rPr>
              <w:t xml:space="preserve">24 hours</w:t>
            </w:r>
          </w:p>
        </w:tc>
        <w:tc>
          <w:p>
            <w:pPr>
              <w:pStyle w:val="Compact"/>
              <w:jc w:val="left"/>
            </w:pPr>
            <w:r>
              <w:rPr>
                <w:rFonts w:ascii="Arial" w:hAnsi="Arial" w:cs="Arial"/>
              </w:rPr>
              <w:t xml:space="preserve">Fully public + emergency notice</w:t>
            </w:r>
          </w:p>
        </w:tc>
      </w:tr>
      <w:tr>
        <w:tc>
          <w:p>
            <w:pPr>
              <w:pStyle w:val="Compact"/>
              <w:jc w:val="left"/>
            </w:pPr>
            <w:r>
              <w:rPr>
                <w:rFonts w:ascii="Arial" w:hAnsi="Arial" w:cs="Arial"/>
              </w:rPr>
              <w:t xml:space="preserve">Constitutional-Level Expenditure</w:t>
            </w:r>
          </w:p>
        </w:tc>
        <w:tc>
          <w:p>
            <w:pPr>
              <w:pStyle w:val="Compact"/>
              <w:jc w:val="left"/>
            </w:pPr>
            <w:r>
              <w:rPr>
                <w:rFonts w:ascii="Arial" w:hAnsi="Arial" w:cs="Arial"/>
              </w:rPr>
              <w:t xml:space="preserve">Approved by Referendum</w:t>
            </w:r>
          </w:p>
        </w:tc>
        <w:tc>
          <w:p>
            <w:pPr>
              <w:pStyle w:val="Compact"/>
              <w:jc w:val="left"/>
            </w:pPr>
            <w:r>
              <w:rPr>
                <w:rFonts w:ascii="Arial" w:hAnsi="Arial" w:cs="Arial"/>
              </w:rPr>
              <w:t xml:space="preserve">7-day voting period</w:t>
            </w:r>
          </w:p>
        </w:tc>
        <w:tc>
          <w:p>
            <w:pPr>
              <w:pStyle w:val="Compact"/>
              <w:jc w:val="left"/>
            </w:pPr>
            <w:r>
              <w:rPr>
                <w:rFonts w:ascii="Arial" w:hAnsi="Arial" w:cs="Arial"/>
              </w:rPr>
              <w:t xml:space="preserve">Fully public + public notice</w:t>
            </w:r>
          </w:p>
        </w:tc>
      </w:tr>
    </w:tbl>
    <w:p>
      <w:pPr>
        <w:pStyle w:val="BodyText"/>
      </w:pPr>
      <w:r>
        <w:rPr>
          <w:rFonts w:ascii="Arial" w:hAnsi="Arial" w:cs="Arial"/>
          <w:b/>
        </w:rPr>
        <w:t xml:space="preserve">5.5 Verification Methods</w:t>
      </w:r>
    </w:p>
    <w:p>
      <w:pPr>
        <w:numPr>
          <w:ilvl w:val="0"/>
          <w:numId w:val="1016"/>
        </w:numPr>
      </w:pPr>
      <w:r>
        <w:rPr>
          <w:rFonts w:ascii="Arial" w:hAnsi="Arial" w:cs="Arial"/>
          <w:b/>
        </w:rPr>
        <w:t xml:space="preserve">Data Integrity Verification:</w:t>
      </w:r>
      <w:r>
        <w:rPr>
          <w:rFonts w:ascii="Arial" w:hAnsi="Arial" w:cs="Arial"/>
        </w:rPr>
        <w:t xml:space="preserve"> Dashboard data is automatically cross-checked against blockchain raw data daily; discrepancies exceeding 0.01% trigger alerts.</w:t>
      </w:r>
    </w:p>
    <w:p>
      <w:pPr>
        <w:numPr>
          <w:ilvl w:val="0"/>
          <w:numId w:val="1016"/>
        </w:numPr>
      </w:pPr>
      <w:r>
        <w:rPr>
          <w:rFonts w:ascii="Arial" w:hAnsi="Arial" w:cs="Arial"/>
          <w:b/>
        </w:rPr>
        <w:t xml:space="preserve">Algorithm Compliance Verification:</w:t>
      </w:r>
      <w:r>
        <w:rPr>
          <w:rFonts w:ascii="Arial" w:hAnsi="Arial" w:cs="Arial"/>
        </w:rPr>
        <w:t xml:space="preserve"> Each execution result of the budget allocation algorithm is audited by an independent audit module to ensure compliance with Constitutional priorities.</w:t>
      </w:r>
    </w:p>
    <w:p>
      <w:pPr>
        <w:numPr>
          <w:ilvl w:val="0"/>
          <w:numId w:val="1016"/>
        </w:numPr>
      </w:pPr>
      <w:r>
        <w:rPr>
          <w:rFonts w:ascii="Arial" w:hAnsi="Arial" w:cs="Arial"/>
          <w:b/>
        </w:rPr>
        <w:t xml:space="preserve">Multi-Signature Validity Verification:</w:t>
      </w:r>
      <w:r>
        <w:rPr>
          <w:rFonts w:ascii="Arial" w:hAnsi="Arial" w:cs="Arial"/>
        </w:rPr>
        <w:t xml:space="preserve"> The validity of signatures on each multi-signature transaction is automatically verified by the contract; forged or expired signatures are automatically rejected.</w:t>
      </w:r>
    </w:p>
    <w:p>
      <w:pPr>
        <w:numPr>
          <w:ilvl w:val="0"/>
          <w:numId w:val="1016"/>
        </w:numPr>
      </w:pPr>
      <w:r>
        <w:rPr>
          <w:rFonts w:ascii="Arial" w:hAnsi="Arial" w:cs="Arial"/>
          <w:b/>
        </w:rPr>
        <w:t xml:space="preserve">Transparency Score:</w:t>
      </w:r>
      <w:r>
        <w:rPr>
          <w:rFonts w:ascii="Arial" w:hAnsi="Arial" w:cs="Arial"/>
        </w:rPr>
        <w:t xml:space="preserve"> International transparency organizations conduct annual independent scoring of DAOTONG’s fiscal transparency.</w:t>
      </w:r>
    </w:p>
    <w:p>
      <w:pPr>
        <w:pStyle w:val="FirstParagraph"/>
      </w:pPr>
      <w:r>
        <w:rPr>
          <w:rFonts w:ascii="Arial" w:hAnsi="Arial" w:cs="Arial"/>
          <w:b/>
        </w:rPr>
        <w:t xml:space="preserve">Chapter 6 Four Economic Risk Protection Mechanisms</w:t>
      </w:r>
    </w:p>
    <w:p>
      <w:pPr>
        <w:pStyle w:val="BodyText"/>
      </w:pPr>
      <w:r>
        <w:rPr>
          <w:rFonts w:ascii="Arial" w:hAnsi="Arial" w:cs="Arial"/>
          <w:b/>
        </w:rPr>
        <w:t xml:space="preserve">6.1 Risk Protection Overview</w:t>
      </w:r>
    </w:p>
    <w:p>
      <w:pPr>
        <w:pStyle w:val="BodyText"/>
      </w:pPr>
      <w:r>
        <w:rPr>
          <w:rFonts w:ascii="Arial" w:hAnsi="Arial" w:cs="Arial"/>
        </w:rPr>
        <w:t xml:space="preserve">While DAOTONG’s economic system is meticulously designed, it is not impenetrable. Any complex system faces internal and external risks; the key lies in having systematic protection mechanisms. This chapter details the four economic risk protection mechanisms, each with clear trigger conditions, response procedures, and recovery plans.</w:t>
      </w:r>
    </w:p>
    <w:tbl>
      <w:tblPr>
        <w:tblStyle w:val="Table"/>
        <w:tblW w:type="pct" w:w="5000.0"/>
        <w:tblLook w:firstRow="0"/>
      </w:tblPr>
      <w:tblGrid>
        <w:gridCol w:w="1788"/>
        <w:gridCol w:w="1916"/>
        <w:gridCol w:w="2171"/>
        <w:gridCol w:w="2043"/>
      </w:tblGrid>
      <w:tr>
        <w:tc>
          <w:p>
            <w:pPr>
              <w:pStyle w:val="Compact"/>
              <w:jc w:val="left"/>
            </w:pPr>
            <w:r>
              <w:rPr>
                <w:rFonts w:ascii="Arial" w:hAnsi="Arial" w:cs="Arial"/>
                <w:b/>
              </w:rPr>
              <w:t xml:space="preserve">Risk Type</w:t>
            </w:r>
          </w:p>
        </w:tc>
        <w:tc>
          <w:p>
            <w:pPr>
              <w:pStyle w:val="Compact"/>
              <w:jc w:val="left"/>
            </w:pPr>
            <w:r>
              <w:rPr>
                <w:rFonts w:ascii="Arial" w:hAnsi="Arial" w:cs="Arial"/>
                <w:b/>
              </w:rPr>
              <w:t xml:space="preserve">Core Threat</w:t>
            </w:r>
          </w:p>
        </w:tc>
        <w:tc>
          <w:p>
            <w:pPr>
              <w:pStyle w:val="Compact"/>
              <w:jc w:val="left"/>
            </w:pPr>
            <w:r>
              <w:rPr>
                <w:rFonts w:ascii="Arial" w:hAnsi="Arial" w:cs="Arial"/>
                <w:b/>
              </w:rPr>
              <w:t xml:space="preserve">Protection Mechanism</w:t>
            </w:r>
          </w:p>
        </w:tc>
        <w:tc>
          <w:p>
            <w:pPr>
              <w:pStyle w:val="Compact"/>
              <w:jc w:val="left"/>
            </w:pPr>
            <w:r>
              <w:rPr>
                <w:rFonts w:ascii="Arial" w:hAnsi="Arial" w:cs="Arial"/>
                <w:b/>
              </w:rPr>
              <w:t xml:space="preserve">Trigger Indicator</w:t>
            </w:r>
          </w:p>
        </w:tc>
      </w:tr>
      <w:tr>
        <w:tc>
          <w:p>
            <w:pPr>
              <w:pStyle w:val="Compact"/>
              <w:jc w:val="left"/>
            </w:pPr>
            <w:r>
              <w:rPr>
                <w:rFonts w:ascii="Arial" w:hAnsi="Arial" w:cs="Arial"/>
              </w:rPr>
              <w:t xml:space="preserve">Wealth Concentration</w:t>
            </w:r>
          </w:p>
        </w:tc>
        <w:tc>
          <w:p>
            <w:pPr>
              <w:pStyle w:val="Compact"/>
              <w:jc w:val="left"/>
            </w:pPr>
            <w:r>
              <w:rPr>
                <w:rFonts w:ascii="Arial" w:hAnsi="Arial" w:cs="Arial"/>
              </w:rPr>
              <w:t xml:space="preserve">Uncontrolled wealth gap</w:t>
            </w:r>
          </w:p>
        </w:tc>
        <w:tc>
          <w:p>
            <w:pPr>
              <w:pStyle w:val="Compact"/>
              <w:jc w:val="left"/>
            </w:pPr>
            <w:r>
              <w:rPr>
                <w:rFonts w:ascii="Arial" w:hAnsi="Arial" w:cs="Arial"/>
              </w:rPr>
              <w:t xml:space="preserve">Automatic Redistribution</w:t>
            </w:r>
          </w:p>
        </w:tc>
        <w:tc>
          <w:p>
            <w:pPr>
              <w:pStyle w:val="Compact"/>
              <w:jc w:val="left"/>
            </w:pPr>
            <w:r>
              <w:rPr>
                <w:rFonts w:ascii="Arial" w:hAnsi="Arial" w:cs="Arial"/>
              </w:rPr>
              <w:t xml:space="preserve">Gini Coefficient &gt; 0.45</w:t>
            </w:r>
          </w:p>
        </w:tc>
      </w:tr>
      <w:tr>
        <w:tc>
          <w:p>
            <w:pPr>
              <w:pStyle w:val="Compact"/>
              <w:jc w:val="left"/>
            </w:pPr>
            <w:r>
              <w:rPr>
                <w:rFonts w:ascii="Arial" w:hAnsi="Arial" w:cs="Arial"/>
              </w:rPr>
              <w:t xml:space="preserve">Insufficient Fiscal Reserve</w:t>
            </w:r>
          </w:p>
        </w:tc>
        <w:tc>
          <w:p>
            <w:pPr>
              <w:pStyle w:val="Compact"/>
              <w:jc w:val="left"/>
            </w:pPr>
            <w:r>
              <w:rPr>
                <w:rFonts w:ascii="Arial" w:hAnsi="Arial" w:cs="Arial"/>
              </w:rPr>
              <w:t xml:space="preserve">UBI distribution interruption</w:t>
            </w:r>
          </w:p>
        </w:tc>
        <w:tc>
          <w:p>
            <w:pPr>
              <w:pStyle w:val="Compact"/>
              <w:jc w:val="left"/>
            </w:pPr>
            <w:r>
              <w:rPr>
                <w:rFonts w:ascii="Arial" w:hAnsi="Arial" w:cs="Arial"/>
              </w:rPr>
              <w:t xml:space="preserve">12-month reserve fund</w:t>
            </w:r>
          </w:p>
        </w:tc>
        <w:tc>
          <w:p>
            <w:pPr>
              <w:pStyle w:val="Compact"/>
              <w:jc w:val="left"/>
            </w:pPr>
            <w:r>
              <w:rPr>
                <w:rFonts w:ascii="Arial" w:hAnsi="Arial" w:cs="Arial"/>
              </w:rPr>
              <w:t xml:space="preserve">Reserve &lt; 6 months UBI</w:t>
            </w:r>
          </w:p>
        </w:tc>
      </w:tr>
      <w:tr>
        <w:tc>
          <w:p>
            <w:pPr>
              <w:pStyle w:val="Compact"/>
              <w:jc w:val="left"/>
            </w:pPr>
            <w:r>
              <w:rPr>
                <w:rFonts w:ascii="Arial" w:hAnsi="Arial" w:cs="Arial"/>
              </w:rPr>
              <w:t xml:space="preserve">Foreign Capital Infiltration</w:t>
            </w:r>
          </w:p>
        </w:tc>
        <w:tc>
          <w:p>
            <w:pPr>
              <w:pStyle w:val="Compact"/>
              <w:jc w:val="left"/>
            </w:pPr>
            <w:r>
              <w:rPr>
                <w:rFonts w:ascii="Arial" w:hAnsi="Arial" w:cs="Arial"/>
              </w:rPr>
              <w:t xml:space="preserve">Outflow of strategic assets</w:t>
            </w:r>
          </w:p>
        </w:tc>
        <w:tc>
          <w:p>
            <w:pPr>
              <w:pStyle w:val="Compact"/>
              <w:jc w:val="left"/>
            </w:pPr>
            <w:r>
              <w:rPr>
                <w:rFonts w:ascii="Arial" w:hAnsi="Arial" w:cs="Arial"/>
              </w:rPr>
              <w:t xml:space="preserve">Access control + AI audit</w:t>
            </w:r>
          </w:p>
        </w:tc>
        <w:tc>
          <w:p>
            <w:pPr>
              <w:pStyle w:val="Compact"/>
              <w:jc w:val="left"/>
            </w:pPr>
            <w:r>
              <w:rPr>
                <w:rFonts w:ascii="Arial" w:hAnsi="Arial" w:cs="Arial"/>
              </w:rPr>
              <w:t xml:space="preserve">Foreign ownership &gt; 30%</w:t>
            </w:r>
          </w:p>
        </w:tc>
      </w:tr>
      <w:tr>
        <w:tc>
          <w:p>
            <w:pPr>
              <w:pStyle w:val="Compact"/>
              <w:jc w:val="left"/>
            </w:pPr>
            <w:r>
              <w:rPr>
                <w:rFonts w:ascii="Arial" w:hAnsi="Arial" w:cs="Arial"/>
              </w:rPr>
              <w:t xml:space="preserve">Monetary Instability</w:t>
            </w:r>
          </w:p>
        </w:tc>
        <w:tc>
          <w:p>
            <w:pPr>
              <w:pStyle w:val="Compact"/>
              <w:jc w:val="left"/>
            </w:pPr>
            <w:r>
              <w:rPr>
                <w:rFonts w:ascii="Arial" w:hAnsi="Arial" w:cs="Arial"/>
              </w:rPr>
              <w:t xml:space="preserve">Inflation/deflation spiral</w:t>
            </w:r>
          </w:p>
        </w:tc>
        <w:tc>
          <w:p>
            <w:pPr>
              <w:pStyle w:val="Compact"/>
              <w:jc w:val="left"/>
            </w:pPr>
            <w:r>
              <w:rPr>
                <w:rFonts w:ascii="Arial" w:hAnsi="Arial" w:cs="Arial"/>
              </w:rPr>
              <w:t xml:space="preserve">Algorithmic stabilization</w:t>
            </w:r>
          </w:p>
        </w:tc>
        <w:tc>
          <w:p>
            <w:pPr>
              <w:pStyle w:val="Compact"/>
              <w:jc w:val="left"/>
            </w:pPr>
            <w:r>
              <w:rPr>
                <w:rFonts w:ascii="Arial" w:hAnsi="Arial" w:cs="Arial"/>
              </w:rPr>
              <w:t xml:space="preserve">Monthly CPI change &gt; 5%</w:t>
            </w:r>
          </w:p>
        </w:tc>
      </w:tr>
    </w:tbl>
    <w:p>
      <w:pPr>
        <w:pStyle w:val="BodyText"/>
      </w:pPr>
      <w:r>
        <w:rPr>
          <w:rFonts w:ascii="Arial" w:hAnsi="Arial" w:cs="Arial"/>
          <w:b/>
        </w:rPr>
        <w:t xml:space="preserve">6.2 Concentration Alert——Gini Coefficient Monitoring and Automatic Redistribution</w:t>
      </w:r>
    </w:p>
    <w:p>
      <w:pPr>
        <w:pStyle w:val="BodyText"/>
      </w:pPr>
      <w:r>
        <w:rPr>
          <w:rFonts w:ascii="Arial" w:hAnsi="Arial" w:cs="Arial"/>
          <w:b/>
        </w:rPr>
        <w:t xml:space="preserve">6.2.1 Trigger Conditions</w:t>
      </w:r>
    </w:p>
    <w:p>
      <w:pPr>
        <w:pStyle w:val="BodyText"/>
      </w:pPr>
      <w:r>
        <w:rPr>
          <w:rFonts w:ascii="Arial" w:hAnsi="Arial" w:cs="Arial"/>
        </w:rPr>
        <w:t xml:space="preserve">The system continuously monitors DAOTONG’s Gini Coefficient, which measures the inequality of income and wealth distribution, ranging from 0 to 1, where 0 indicates complete equality and 1 indicates complete inequality. Trigger conditions are divided into three levels:</w:t>
      </w:r>
    </w:p>
    <w:tbl>
      <w:tblPr>
        <w:tblStyle w:val="Table"/>
        <w:tblW w:type="pct" w:w="5000.0"/>
        <w:tblLook w:firstRow="0"/>
      </w:tblPr>
      <w:tblGrid>
        <w:gridCol w:w="1100"/>
        <w:gridCol w:w="1980"/>
        <w:gridCol w:w="1100"/>
        <w:gridCol w:w="3740"/>
      </w:tblGrid>
      <w:tr>
        <w:tc>
          <w:p>
            <w:pPr>
              <w:pStyle w:val="Compact"/>
              <w:jc w:val="left"/>
            </w:pPr>
            <w:r>
              <w:rPr>
                <w:rFonts w:ascii="Arial" w:hAnsi="Arial" w:cs="Arial"/>
                <w:b/>
              </w:rPr>
              <w:t xml:space="preserve">Level</w:t>
            </w:r>
          </w:p>
        </w:tc>
        <w:tc>
          <w:p>
            <w:pPr>
              <w:pStyle w:val="Compact"/>
              <w:jc w:val="left"/>
            </w:pPr>
            <w:r>
              <w:rPr>
                <w:rFonts w:ascii="Arial" w:hAnsi="Arial" w:cs="Arial"/>
                <w:b/>
              </w:rPr>
              <w:t xml:space="preserve">Gini Coefficient Range</w:t>
            </w:r>
          </w:p>
        </w:tc>
        <w:tc>
          <w:p>
            <w:pPr>
              <w:pStyle w:val="Compact"/>
              <w:jc w:val="left"/>
            </w:pPr>
            <w:r>
              <w:rPr>
                <w:rFonts w:ascii="Arial" w:hAnsi="Arial" w:cs="Arial"/>
                <w:b/>
              </w:rPr>
              <w:t xml:space="preserve">Status</w:t>
            </w:r>
          </w:p>
        </w:tc>
        <w:tc>
          <w:p>
            <w:pPr>
              <w:pStyle w:val="Compact"/>
              <w:jc w:val="left"/>
            </w:pPr>
            <w:r>
              <w:rPr>
                <w:rFonts w:ascii="Arial" w:hAnsi="Arial" w:cs="Arial"/>
                <w:b/>
              </w:rPr>
              <w:t xml:space="preserve">Automatic Response</w:t>
            </w:r>
          </w:p>
        </w:tc>
      </w:tr>
      <w:tr>
        <w:tc>
          <w:p>
            <w:pPr>
              <w:pStyle w:val="Compact"/>
              <w:jc w:val="left"/>
            </w:pPr>
            <w:r>
              <w:rPr>
                <w:rFonts w:ascii="Arial" w:hAnsi="Arial" w:cs="Arial"/>
              </w:rPr>
              <w:t xml:space="preserve">Green</w:t>
            </w:r>
          </w:p>
        </w:tc>
        <w:tc>
          <w:p>
            <w:pPr>
              <w:pStyle w:val="Compact"/>
              <w:jc w:val="left"/>
            </w:pPr>
            <w:r>
              <w:rPr>
                <w:rFonts w:ascii="Arial" w:hAnsi="Arial" w:cs="Arial"/>
              </w:rPr>
              <w:t xml:space="preserve">&lt; 0.35</w:t>
            </w:r>
          </w:p>
        </w:tc>
        <w:tc>
          <w:p>
            <w:pPr>
              <w:pStyle w:val="Compact"/>
              <w:jc w:val="left"/>
            </w:pPr>
            <w:r>
              <w:rPr>
                <w:rFonts w:ascii="Arial" w:hAnsi="Arial" w:cs="Arial"/>
              </w:rPr>
              <w:t xml:space="preserve">Healthy</w:t>
            </w:r>
          </w:p>
        </w:tc>
        <w:tc>
          <w:p>
            <w:pPr>
              <w:pStyle w:val="Compact"/>
              <w:jc w:val="left"/>
            </w:pPr>
            <w:r>
              <w:rPr>
                <w:rFonts w:ascii="Arial" w:hAnsi="Arial" w:cs="Arial"/>
              </w:rPr>
              <w:t xml:space="preserve">Routine monitoring</w:t>
            </w:r>
          </w:p>
        </w:tc>
      </w:tr>
      <w:tr>
        <w:tc>
          <w:p>
            <w:pPr>
              <w:pStyle w:val="Compact"/>
              <w:jc w:val="left"/>
            </w:pPr>
            <w:r>
              <w:rPr>
                <w:rFonts w:ascii="Arial" w:hAnsi="Arial" w:cs="Arial"/>
              </w:rPr>
              <w:t xml:space="preserve">Yellow</w:t>
            </w:r>
          </w:p>
        </w:tc>
        <w:tc>
          <w:p>
            <w:pPr>
              <w:pStyle w:val="Compact"/>
              <w:jc w:val="left"/>
            </w:pPr>
            <w:r>
              <w:rPr>
                <w:rFonts w:ascii="Arial" w:hAnsi="Arial" w:cs="Arial"/>
              </w:rPr>
              <w:t xml:space="preserve">0.35 - 0.45</w:t>
            </w:r>
          </w:p>
        </w:tc>
        <w:tc>
          <w:p>
            <w:pPr>
              <w:pStyle w:val="Compact"/>
              <w:jc w:val="left"/>
            </w:pPr>
            <w:r>
              <w:rPr>
                <w:rFonts w:ascii="Arial" w:hAnsi="Arial" w:cs="Arial"/>
              </w:rPr>
              <w:t xml:space="preserve">Alert</w:t>
            </w:r>
          </w:p>
        </w:tc>
        <w:tc>
          <w:p>
            <w:pPr>
              <w:pStyle w:val="Compact"/>
              <w:jc w:val="left"/>
            </w:pPr>
            <w:r>
              <w:rPr>
                <w:rFonts w:ascii="Arial" w:hAnsi="Arial" w:cs="Arial"/>
              </w:rPr>
              <w:t xml:space="preserve">Initiate income adjustment, increase AI tax on high-income groups</w:t>
            </w:r>
          </w:p>
        </w:tc>
      </w:tr>
      <w:tr>
        <w:tc>
          <w:p>
            <w:pPr>
              <w:pStyle w:val="Compact"/>
              <w:jc w:val="left"/>
            </w:pPr>
            <w:r>
              <w:rPr>
                <w:rFonts w:ascii="Arial" w:hAnsi="Arial" w:cs="Arial"/>
              </w:rPr>
              <w:t xml:space="preserve">Red</w:t>
            </w:r>
          </w:p>
        </w:tc>
        <w:tc>
          <w:p>
            <w:pPr>
              <w:pStyle w:val="Compact"/>
              <w:jc w:val="left"/>
            </w:pPr>
            <w:r>
              <w:rPr>
                <w:rFonts w:ascii="Arial" w:hAnsi="Arial" w:cs="Arial"/>
              </w:rPr>
              <w:t xml:space="preserve">&gt; 0.45</w:t>
            </w:r>
          </w:p>
        </w:tc>
        <w:tc>
          <w:p>
            <w:pPr>
              <w:pStyle w:val="Compact"/>
              <w:jc w:val="left"/>
            </w:pPr>
            <w:r>
              <w:rPr>
                <w:rFonts w:ascii="Arial" w:hAnsi="Arial" w:cs="Arial"/>
              </w:rPr>
              <w:t xml:space="preserve">Alarm</w:t>
            </w:r>
          </w:p>
        </w:tc>
        <w:tc>
          <w:p>
            <w:pPr>
              <w:pStyle w:val="Compact"/>
              <w:jc w:val="left"/>
            </w:pPr>
            <w:r>
              <w:rPr>
                <w:rFonts w:ascii="Arial" w:hAnsi="Arial" w:cs="Arial"/>
              </w:rPr>
              <w:t xml:space="preserve">Automatically trigger redistribution, emergency tax structure adjustment</w:t>
            </w:r>
          </w:p>
        </w:tc>
      </w:tr>
    </w:tbl>
    <w:p>
      <w:pPr>
        <w:pStyle w:val="BodyText"/>
      </w:pPr>
      <w:r>
        <w:rPr>
          <w:rFonts w:ascii="Arial" w:hAnsi="Arial" w:cs="Arial"/>
          <w:b/>
        </w:rPr>
        <w:t xml:space="preserve">6.2.2 Response Procedure</w:t>
      </w:r>
    </w:p>
    <w:p>
      <w:pPr>
        <w:pStyle w:val="BodyText"/>
      </w:pPr>
      <w:r>
        <w:rPr>
          <w:rFonts w:ascii="Arial" w:hAnsi="Arial" w:cs="Arial"/>
        </w:rPr>
        <w:t xml:space="preserve">When the Gini Coefficient breaks through the red threshold (&gt;0.45), the system automatically executes the following redistribution procedure:</w:t>
      </w:r>
    </w:p>
    <w:p>
      <w:pPr>
        <w:numPr>
          <w:ilvl w:val="0"/>
          <w:numId w:val="1017"/>
        </w:numPr>
      </w:pPr>
      <w:r>
        <w:rPr>
          <w:rFonts w:ascii="Arial" w:hAnsi="Arial" w:cs="Arial"/>
        </w:rPr>
        <w:t xml:space="preserve">Step 1: The system automatically increases the base AI Labor Tax rate to 120% of the current value (but not exceeding the Constitutional maximum of 5%).</w:t>
      </w:r>
    </w:p>
    <w:p>
      <w:pPr>
        <w:numPr>
          <w:ilvl w:val="0"/>
          <w:numId w:val="1017"/>
        </w:numPr>
      </w:pPr>
      <w:r>
        <w:rPr>
          <w:rFonts w:ascii="Arial" w:hAnsi="Arial" w:cs="Arial"/>
        </w:rPr>
        <w:t>Step 2: All incremental tax revenue is injected into the “Redistribution Pool,” not entering the regular treasury.</w:t>
      </w:r>
    </w:p>
    <w:p>
      <w:pPr>
        <w:numPr>
          <w:ilvl w:val="0"/>
          <w:numId w:val="1017"/>
        </w:numPr>
      </w:pPr>
      <w:r>
        <w:rPr>
          <w:rFonts w:ascii="Arial" w:hAnsi="Arial" w:cs="Arial"/>
        </w:rPr>
        <w:t xml:space="preserve">Step 3: Redistribution Pool funds are exclusively used for: increasing UBI base amount (+5%), supplementary community development fund, and expanding public employment programs.</w:t>
      </w:r>
    </w:p>
    <w:p>
      <w:pPr>
        <w:numPr>
          <w:ilvl w:val="0"/>
          <w:numId w:val="1017"/>
        </w:numPr>
      </w:pPr>
      <w:r>
        <w:rPr>
          <w:rFonts w:ascii="Arial" w:hAnsi="Arial" w:cs="Arial"/>
        </w:rPr>
        <w:t xml:space="preserve">Step 4: Gini Coefficient is recalculated every two weeks; if it falls below 0.40, tax rates are gradually restored to normal.</w:t>
      </w:r>
    </w:p>
    <w:p>
      <w:pPr>
        <w:numPr>
          <w:ilvl w:val="0"/>
          <w:numId w:val="1017"/>
        </w:numPr>
      </w:pPr>
      <w:r>
        <w:rPr>
          <w:rFonts w:ascii="Arial" w:hAnsi="Arial" w:cs="Arial"/>
        </w:rPr>
        <w:t xml:space="preserve">Step 5: The entire redistribution process is completely transparent; the citizen dashboard displays real-time Gini Coefficient changes and redistribution effects.</w:t>
      </w:r>
    </w:p>
    <w:p>
      <w:pPr>
        <w:pStyle w:val="FirstParagraph"/>
      </w:pPr>
      <w:r>
        <w:rPr>
          <w:rFonts w:ascii="Arial" w:hAnsi="Arial" w:cs="Arial"/>
          <w:b/>
        </w:rPr>
        <w:t xml:space="preserve">6.2.3 Recovery Mechanism</w:t>
      </w:r>
    </w:p>
    <w:p>
      <w:pPr>
        <w:pStyle w:val="BodyText"/>
      </w:pPr>
      <w:r>
        <w:rPr>
          <w:rFonts w:ascii="Arial" w:hAnsi="Arial" w:cs="Arial"/>
        </w:rPr>
        <w:t>Redistribution is not infinite taxation. When the Gini Coefficient returns to the healthy range, the system follows the “gradual exit” principle to restore normalcy: tax rates are reduced by 10% of the incremental portion every two weeks until returning to pre-trigger levels. If the Gini Coefficient does not fall below 0.40 within 6 months, the Elder Council must initiate a special investigation to assess whether systemic issues require structural reform.</w:t>
      </w:r>
    </w:p>
    <w:p>
      <w:pPr>
        <w:pStyle w:val="BodyText"/>
      </w:pPr>
      <w:r>
        <w:rPr>
          <w:rFonts w:ascii="Arial" w:hAnsi="Arial" w:cs="Arial"/>
          <w:b/>
        </w:rPr>
        <w:t xml:space="preserve">6.3 Reserve Pool——12-Month UBI Reserve</w:t>
      </w:r>
    </w:p>
    <w:p>
      <w:pPr>
        <w:pStyle w:val="BodyText"/>
      </w:pPr>
      <w:r>
        <w:rPr>
          <w:rFonts w:ascii="Arial" w:hAnsi="Arial" w:cs="Arial"/>
          <w:b/>
        </w:rPr>
        <w:t xml:space="preserve">6.3.1 Reserve Design</w:t>
      </w:r>
    </w:p>
    <w:p>
      <w:pPr>
        <w:pStyle w:val="BodyText"/>
      </w:pPr>
      <w:r>
        <w:rPr>
          <w:rFonts w:ascii="Arial" w:hAnsi="Arial" w:cs="Arial"/>
        </w:rPr>
        <w:t>The on-chain treasury must always maintain a reserve of no less than 12 months of total UBI distribution. This reserve is the “last line of defense,” ensuring that even under extreme circumstances of sudden revenue decline, UBI distribution can continue for one year. The reserve is Constitutionally guaranteed; no expenditure may access it—including emergency expenditure—unless approved through a Referendum.</w:t>
      </w:r>
    </w:p>
    <w:p>
      <w:pPr>
        <w:pStyle w:val="BodyText"/>
      </w:pPr>
      <w:r>
        <w:rPr>
          <w:rFonts w:ascii="Arial" w:hAnsi="Arial" w:cs="Arial"/>
        </w:rPr>
        <w:t xml:space="preserve">Reserve replenishment mechanism: 15% of monthly treasury revenue is automatically transferred to the reserve account until the reserve reaches 120% of the 12-month UBI total (leaving a 20% buffer). The reserve account is an independent smart contract, segregated from the daily treasury account; funds can only flow from the daily account to supplement insufficient reserves, not in the reverse direction.</w:t>
      </w:r>
    </w:p>
    <w:p>
      <w:pPr>
        <w:pStyle w:val="BodyText"/>
      </w:pPr>
      <w:r>
        <w:rPr>
          <w:rFonts w:ascii="Arial" w:hAnsi="Arial" w:cs="Arial"/>
          <w:b/>
        </w:rPr>
        <w:t xml:space="preserve">6.3.2 Trigger Conditions and Response</w:t>
      </w:r>
    </w:p>
    <w:tbl>
      <w:tblPr>
        <w:tblStyle w:val="Table"/>
        <w:tblW w:type="pct" w:w="5000.0"/>
        <w:tblLook w:firstRow="0"/>
      </w:tblPr>
      <w:tblGrid>
        <w:gridCol w:w="1980"/>
        <w:gridCol w:w="1414"/>
        <w:gridCol w:w="4525"/>
      </w:tblGrid>
      <w:tr>
        <w:tc>
          <w:p>
            <w:pPr>
              <w:pStyle w:val="Compact"/>
              <w:jc w:val="left"/>
            </w:pPr>
            <w:r>
              <w:rPr>
                <w:rFonts w:ascii="Arial" w:hAnsi="Arial" w:cs="Arial"/>
                <w:b/>
              </w:rPr>
              <w:t xml:space="preserve">Reserve Level</w:t>
            </w:r>
          </w:p>
        </w:tc>
        <w:tc>
          <w:p>
            <w:pPr>
              <w:pStyle w:val="Compact"/>
              <w:jc w:val="left"/>
            </w:pPr>
            <w:r>
              <w:rPr>
                <w:rFonts w:ascii="Arial" w:hAnsi="Arial" w:cs="Arial"/>
                <w:b/>
              </w:rPr>
              <w:t xml:space="preserve">Status</w:t>
            </w:r>
          </w:p>
        </w:tc>
        <w:tc>
          <w:p>
            <w:pPr>
              <w:pStyle w:val="Compact"/>
              <w:jc w:val="left"/>
            </w:pPr>
            <w:r>
              <w:rPr>
                <w:rFonts w:ascii="Arial" w:hAnsi="Arial" w:cs="Arial"/>
                <w:b/>
              </w:rPr>
              <w:t xml:space="preserve">Automatic Response</w:t>
            </w:r>
          </w:p>
        </w:tc>
      </w:tr>
      <w:tr>
        <w:tc>
          <w:p>
            <w:pPr>
              <w:pStyle w:val="Compact"/>
              <w:jc w:val="left"/>
            </w:pPr>
            <w:r>
              <w:rPr>
                <w:rFonts w:ascii="Arial" w:hAnsi="Arial" w:cs="Arial"/>
              </w:rPr>
              <w:t xml:space="preserve">&gt; 12 months</w:t>
            </w:r>
          </w:p>
        </w:tc>
        <w:tc>
          <w:p>
            <w:pPr>
              <w:pStyle w:val="Compact"/>
              <w:jc w:val="left"/>
            </w:pPr>
            <w:r>
              <w:rPr>
                <w:rFonts w:ascii="Arial" w:hAnsi="Arial" w:cs="Arial"/>
              </w:rPr>
              <w:t xml:space="preserve">Adequate</w:t>
            </w:r>
          </w:p>
        </w:tc>
        <w:tc>
          <w:p>
            <w:pPr>
              <w:pStyle w:val="Compact"/>
              <w:jc w:val="left"/>
            </w:pPr>
            <w:r>
              <w:rPr>
                <w:rFonts w:ascii="Arial" w:hAnsi="Arial" w:cs="Arial"/>
              </w:rPr>
              <w:t xml:space="preserve">Normal operations</w:t>
            </w:r>
          </w:p>
        </w:tc>
      </w:tr>
      <w:tr>
        <w:tc>
          <w:p>
            <w:pPr>
              <w:pStyle w:val="Compact"/>
              <w:jc w:val="left"/>
            </w:pPr>
            <w:r>
              <w:rPr>
                <w:rFonts w:ascii="Arial" w:hAnsi="Arial" w:cs="Arial"/>
              </w:rPr>
              <w:t xml:space="preserve">9-12 months</w:t>
            </w:r>
          </w:p>
        </w:tc>
        <w:tc>
          <w:p>
            <w:pPr>
              <w:pStyle w:val="Compact"/>
              <w:jc w:val="left"/>
            </w:pPr>
            <w:r>
              <w:rPr>
                <w:rFonts w:ascii="Arial" w:hAnsi="Arial" w:cs="Arial"/>
              </w:rPr>
              <w:t xml:space="preserve">Attention</w:t>
            </w:r>
          </w:p>
        </w:tc>
        <w:tc>
          <w:p>
            <w:pPr>
              <w:pStyle w:val="Compact"/>
              <w:jc w:val="left"/>
            </w:pPr>
            <w:r>
              <w:rPr>
                <w:rFonts w:ascii="Arial" w:hAnsi="Arial" w:cs="Arial"/>
              </w:rPr>
              <w:t xml:space="preserve">Increase reserve replenishment ratio to 25%</w:t>
            </w:r>
          </w:p>
        </w:tc>
      </w:tr>
      <w:tr>
        <w:tc>
          <w:p>
            <w:pPr>
              <w:pStyle w:val="Compact"/>
              <w:jc w:val="left"/>
            </w:pPr>
            <w:r>
              <w:rPr>
                <w:rFonts w:ascii="Arial" w:hAnsi="Arial" w:cs="Arial"/>
              </w:rPr>
              <w:t xml:space="preserve">6-9 months</w:t>
            </w:r>
          </w:p>
        </w:tc>
        <w:tc>
          <w:p>
            <w:pPr>
              <w:pStyle w:val="Compact"/>
              <w:jc w:val="left"/>
            </w:pPr>
            <w:r>
              <w:rPr>
                <w:rFonts w:ascii="Arial" w:hAnsi="Arial" w:cs="Arial"/>
              </w:rPr>
              <w:t xml:space="preserve">Warning</w:t>
            </w:r>
          </w:p>
        </w:tc>
        <w:tc>
          <w:p>
            <w:pPr>
              <w:pStyle w:val="Compact"/>
              <w:jc w:val="left"/>
            </w:pPr>
            <w:r>
              <w:rPr>
                <w:rFonts w:ascii="Arial" w:hAnsi="Arial" w:cs="Arial"/>
              </w:rPr>
              <w:t xml:space="preserve">Increase replenishment to 30% + reduce non-essential expenditures</w:t>
            </w:r>
          </w:p>
        </w:tc>
      </w:tr>
      <w:tr>
        <w:tc>
          <w:p>
            <w:pPr>
              <w:pStyle w:val="Compact"/>
              <w:jc w:val="left"/>
            </w:pPr>
            <w:r>
              <w:rPr>
                <w:rFonts w:ascii="Arial" w:hAnsi="Arial" w:cs="Arial"/>
              </w:rPr>
              <w:t xml:space="preserve">&lt; 6 months</w:t>
            </w:r>
          </w:p>
        </w:tc>
        <w:tc>
          <w:p>
            <w:pPr>
              <w:pStyle w:val="Compact"/>
              <w:jc w:val="left"/>
            </w:pPr>
            <w:r>
              <w:rPr>
                <w:rFonts w:ascii="Arial" w:hAnsi="Arial" w:cs="Arial"/>
              </w:rPr>
              <w:t xml:space="preserve">Critical</w:t>
            </w:r>
          </w:p>
        </w:tc>
        <w:tc>
          <w:p>
            <w:pPr>
              <w:pStyle w:val="Compact"/>
              <w:jc w:val="left"/>
            </w:pPr>
            <w:r>
              <w:rPr>
                <w:rFonts w:ascii="Arial" w:hAnsi="Arial" w:cs="Arial"/>
              </w:rPr>
              <w:t xml:space="preserve">Emergency Referendum + suspend all non-UBI expenditures</w:t>
            </w:r>
          </w:p>
        </w:tc>
      </w:tr>
    </w:tbl>
    <w:p>
      <w:pPr>
        <w:pStyle w:val="BodyText"/>
      </w:pPr>
      <w:r>
        <w:rPr>
          <w:rFonts w:ascii="Arial" w:hAnsi="Arial" w:cs="Arial"/>
          <w:b/>
        </w:rPr>
        <w:t xml:space="preserve">6.4 Foreign Investment Access Control——Strategic Asset Protection</w:t>
      </w:r>
    </w:p>
    <w:p>
      <w:pPr>
        <w:pStyle w:val="BodyText"/>
      </w:pPr>
      <w:r>
        <w:rPr>
          <w:rFonts w:ascii="Arial" w:hAnsi="Arial" w:cs="Arial"/>
          <w:b/>
        </w:rPr>
        <w:t xml:space="preserve">6.4.1 Strategic Asset Protection List</w:t>
      </w:r>
    </w:p>
    <w:p>
      <w:pPr>
        <w:pStyle w:val="BodyText"/>
      </w:pPr>
      <w:r>
        <w:rPr>
          <w:rFonts w:ascii="Arial" w:hAnsi="Arial" w:cs="Arial"/>
        </w:rPr>
        <w:t>DAOTONG maintains a “Strategic Asset Protection List” that sets upper limits on foreign ownership of listed assets. The protection list covers: AI core infrastructure (data centers, computing clusters), public service systems (energy, water, communications), critical data resources (citizen data, city operations data), and financial infrastructure (treasury contracts, payment networks).</w:t>
      </w:r>
    </w:p>
    <w:p>
      <w:pPr>
        <w:pStyle w:val="BodyText"/>
      </w:pPr>
      <w:r>
        <w:rPr>
          <w:rFonts w:ascii="Arial" w:hAnsi="Arial" w:cs="Arial"/>
        </w:rPr>
        <w:t xml:space="preserve">For listed assets, aggregate foreign shareholding shall not exceed 30%, and no single foreign entity shall exceed 10%. The AI system monitors all equity change transactions in real time; any transaction attempting to break through the limits is automatically intercepted.</w:t>
      </w:r>
    </w:p>
    <w:p>
      <w:pPr>
        <w:pStyle w:val="BodyText"/>
      </w:pPr>
      <w:r>
        <w:rPr>
          <w:rFonts w:ascii="Arial" w:hAnsi="Arial" w:cs="Arial"/>
          <w:b/>
        </w:rPr>
        <w:t xml:space="preserve">6.4.2 AI Review Mechanism</w:t>
      </w:r>
    </w:p>
    <w:p>
      <w:pPr>
        <w:pStyle w:val="BodyText"/>
      </w:pPr>
      <w:r>
        <w:rPr>
          <w:rFonts w:ascii="Arial" w:hAnsi="Arial" w:cs="Arial"/>
        </w:rPr>
        <w:t xml:space="preserve">All equity changes involving strategic assets must undergo triple review by the AI review module:</w:t>
      </w:r>
    </w:p>
    <w:p>
      <w:pPr>
        <w:numPr>
          <w:ilvl w:val="0"/>
          <w:numId w:val="1018"/>
        </w:numPr>
      </w:pPr>
      <w:r>
        <w:rPr>
          <w:rFonts w:ascii="Arial" w:hAnsi="Arial" w:cs="Arial"/>
          <w:b/>
        </w:rPr>
        <w:t xml:space="preserve">Identity Penetration Review:</w:t>
      </w:r>
      <w:r>
        <w:rPr>
          <w:rFonts w:ascii="Arial" w:hAnsi="Arial" w:cs="Arial"/>
        </w:rPr>
        <w:t xml:space="preserve"> Tracing the actual beneficial owner, penetrating multi-layer ownership structures to identify the ultimate beneficiary.</w:t>
      </w:r>
    </w:p>
    <w:p>
      <w:pPr>
        <w:numPr>
          <w:ilvl w:val="0"/>
          <w:numId w:val="1018"/>
        </w:numPr>
      </w:pPr>
      <w:r>
        <w:rPr>
          <w:rFonts w:ascii="Arial" w:hAnsi="Arial" w:cs="Arial"/>
          <w:b/>
        </w:rPr>
        <w:t xml:space="preserve">Related Party Review:</w:t>
      </w:r>
      <w:r>
        <w:rPr>
          <w:rFonts w:ascii="Arial" w:hAnsi="Arial" w:cs="Arial"/>
        </w:rPr>
        <w:t xml:space="preserve"> Checking whether transactions between parties involve related relationships, preventing circumventing limits through dispersed shareholding.</w:t>
      </w:r>
    </w:p>
    <w:p>
      <w:pPr>
        <w:numPr>
          <w:ilvl w:val="0"/>
          <w:numId w:val="1018"/>
        </w:numPr>
      </w:pPr>
      <w:r>
        <w:rPr>
          <w:rFonts w:ascii="Arial" w:hAnsi="Arial" w:cs="Arial"/>
          <w:b/>
        </w:rPr>
        <w:t xml:space="preserve">Intent Assessment Review:</w:t>
      </w:r>
      <w:r>
        <w:rPr>
          <w:rFonts w:ascii="Arial" w:hAnsi="Arial" w:cs="Arial"/>
        </w:rPr>
        <w:t xml:space="preserve"> AI analyzes transaction patterns and historical behavior to assess whether there are signs of hostile acquisition or market manipulation.</w:t>
      </w:r>
    </w:p>
    <w:p>
      <w:pPr>
        <w:pStyle w:val="FirstParagraph"/>
      </w:pPr>
      <w:r>
        <w:rPr>
          <w:rFonts w:ascii="Arial" w:hAnsi="Arial" w:cs="Arial"/>
        </w:rPr>
        <w:t xml:space="preserve">Review results are divided into three levels: Pass (automatic release), Suspicious (submitted to Elder Council for review), High Risk (direct rejection and triggering investigation).</w:t>
      </w:r>
    </w:p>
    <w:p>
      <w:pPr>
        <w:pStyle w:val="BodyText"/>
      </w:pPr>
      <w:r>
        <w:rPr>
          <w:rFonts w:ascii="Arial" w:hAnsi="Arial" w:cs="Arial"/>
          <w:b/>
        </w:rPr>
        <w:t xml:space="preserve">6.5 Monetary Stability Mechanism——Algorithmic Stabilization Adjustment</w:t>
      </w:r>
    </w:p>
    <w:p>
      <w:pPr>
        <w:pStyle w:val="BodyText"/>
      </w:pPr>
      <w:r>
        <w:rPr>
          <w:rFonts w:ascii="Arial" w:hAnsi="Arial" w:cs="Arial"/>
          <w:b/>
        </w:rPr>
        <w:t xml:space="preserve">6.5.1 Stabilization Adjustment Principle</w:t>
      </w:r>
    </w:p>
    <w:p>
      <w:pPr>
        <w:pStyle w:val="BodyText"/>
      </w:pPr>
      <w:r>
        <w:rPr>
          <w:rFonts w:ascii="Arial" w:hAnsi="Arial" w:cs="Arial"/>
        </w:rPr>
        <w:t>DAOTONG’s internal economy uses an algorithmically adjusted digital currency, with its value pegged to a basket of reserve assets (fiat currency, gold, other stablecoins). The algorithmic stabilization mechanism maintains price stability by dynamically adjusting the money supply: when inflationary pressure rises, the system reduces circulating supply through a “withdrawal” mechanism (increasing reserve requirements, issuing bonds, etc.); when deflationary pressure appears, it increases circulating supply through an “injection” mechanism (lowering reserve requirements, buying back bonds, etc.).</w:t>
      </w:r>
    </w:p>
    <w:p>
      <w:pPr>
        <w:pStyle w:val="BodyText"/>
      </w:pPr>
      <w:r>
        <w:rPr>
          <w:rFonts w:ascii="Arial" w:hAnsi="Arial" w:cs="Arial"/>
          <w:b/>
        </w:rPr>
        <w:t xml:space="preserve">6.5.2 Reserve Asset Diversification</w:t>
      </w:r>
    </w:p>
    <w:tbl>
      <w:tblPr>
        <w:tblStyle w:val="Table"/>
        <w:tblW w:type="pct" w:w="5000.0"/>
        <w:tblLook w:firstRow="0"/>
      </w:tblPr>
      <w:tblGrid>
        <w:gridCol w:w="1584"/>
        <w:gridCol w:w="1584"/>
        <w:gridCol w:w="1357"/>
        <w:gridCol w:w="3394"/>
      </w:tblGrid>
      <w:tr>
        <w:tc>
          <w:p>
            <w:pPr>
              <w:pStyle w:val="Compact"/>
              <w:jc w:val="left"/>
            </w:pPr>
            <w:r>
              <w:rPr>
                <w:rFonts w:ascii="Arial" w:hAnsi="Arial" w:cs="Arial"/>
                <w:b/>
              </w:rPr>
              <w:t xml:space="preserve">Asset Category</w:t>
            </w:r>
          </w:p>
        </w:tc>
        <w:tc>
          <w:p>
            <w:pPr>
              <w:pStyle w:val="Compact"/>
              <w:jc w:val="left"/>
            </w:pPr>
            <w:r>
              <w:rPr>
                <w:rFonts w:ascii="Arial" w:hAnsi="Arial" w:cs="Arial"/>
                <w:b/>
              </w:rPr>
              <w:t xml:space="preserve">Target Allocation</w:t>
            </w:r>
          </w:p>
        </w:tc>
        <w:tc>
          <w:p>
            <w:pPr>
              <w:pStyle w:val="Compact"/>
              <w:jc w:val="left"/>
            </w:pPr>
            <w:r>
              <w:rPr>
                <w:rFonts w:ascii="Arial" w:hAnsi="Arial" w:cs="Arial"/>
                <w:b/>
              </w:rPr>
              <w:t xml:space="preserve">Liquidity</w:t>
            </w:r>
          </w:p>
        </w:tc>
        <w:tc>
          <w:p>
            <w:pPr>
              <w:pStyle w:val="Compact"/>
              <w:jc w:val="left"/>
            </w:pPr>
            <w:r>
              <w:rPr>
                <w:rFonts w:ascii="Arial" w:hAnsi="Arial" w:cs="Arial"/>
                <w:b/>
              </w:rPr>
              <w:t xml:space="preserve">Description</w:t>
            </w:r>
          </w:p>
        </w:tc>
      </w:tr>
      <w:tr>
        <w:tc>
          <w:p>
            <w:pPr>
              <w:pStyle w:val="Compact"/>
              <w:jc w:val="left"/>
            </w:pPr>
            <w:r>
              <w:rPr>
                <w:rFonts w:ascii="Arial" w:hAnsi="Arial" w:cs="Arial"/>
              </w:rPr>
              <w:t xml:space="preserve">Major Fiat Reserves</w:t>
            </w:r>
          </w:p>
        </w:tc>
        <w:tc>
          <w:p>
            <w:pPr>
              <w:pStyle w:val="Compact"/>
              <w:jc w:val="left"/>
            </w:pPr>
            <w:r>
              <w:rPr>
                <w:rFonts w:ascii="Arial" w:hAnsi="Arial" w:cs="Arial"/>
              </w:rPr>
              <w:t xml:space="preserve">40%</w:t>
            </w:r>
          </w:p>
        </w:tc>
        <w:tc>
          <w:p>
            <w:pPr>
              <w:pStyle w:val="Compact"/>
              <w:jc w:val="left"/>
            </w:pPr>
            <w:r>
              <w:rPr>
                <w:rFonts w:ascii="Arial" w:hAnsi="Arial" w:cs="Arial"/>
              </w:rPr>
              <w:t xml:space="preserve">High</w:t>
            </w:r>
          </w:p>
        </w:tc>
        <w:tc>
          <w:p>
            <w:pPr>
              <w:pStyle w:val="Compact"/>
              <w:jc w:val="left"/>
            </w:pPr>
            <w:r>
              <w:rPr>
                <w:rFonts w:ascii="Arial" w:hAnsi="Arial" w:cs="Arial"/>
              </w:rPr>
              <w:t xml:space="preserve">US dollar, Euro, RMB, and other major currencies</w:t>
            </w:r>
          </w:p>
        </w:tc>
      </w:tr>
      <w:tr>
        <w:tc>
          <w:p>
            <w:pPr>
              <w:pStyle w:val="Compact"/>
              <w:jc w:val="left"/>
            </w:pPr>
            <w:r>
              <w:rPr>
                <w:rFonts w:ascii="Arial" w:hAnsi="Arial" w:cs="Arial"/>
              </w:rPr>
              <w:t xml:space="preserve">Gold Reserves</w:t>
            </w:r>
          </w:p>
        </w:tc>
        <w:tc>
          <w:p>
            <w:pPr>
              <w:pStyle w:val="Compact"/>
              <w:jc w:val="left"/>
            </w:pPr>
            <w:r>
              <w:rPr>
                <w:rFonts w:ascii="Arial" w:hAnsi="Arial" w:cs="Arial"/>
              </w:rPr>
              <w:t xml:space="preserve">20%</w:t>
            </w:r>
          </w:p>
        </w:tc>
        <w:tc>
          <w:p>
            <w:pPr>
              <w:pStyle w:val="Compact"/>
              <w:jc w:val="left"/>
            </w:pPr>
            <w:r>
              <w:rPr>
                <w:rFonts w:ascii="Arial" w:hAnsi="Arial" w:cs="Arial"/>
              </w:rPr>
              <w:t xml:space="preserve">Medium</w:t>
            </w:r>
          </w:p>
        </w:tc>
        <w:tc>
          <w:p>
            <w:pPr>
              <w:pStyle w:val="Compact"/>
              <w:jc w:val="left"/>
            </w:pPr>
            <w:r>
              <w:rPr>
                <w:rFonts w:ascii="Arial" w:hAnsi="Arial" w:cs="Arial"/>
              </w:rPr>
              <w:t xml:space="preserve">Physical gold + gold certificates</w:t>
            </w:r>
          </w:p>
        </w:tc>
      </w:tr>
      <w:tr>
        <w:tc>
          <w:p>
            <w:pPr>
              <w:pStyle w:val="Compact"/>
              <w:jc w:val="left"/>
            </w:pPr>
            <w:r>
              <w:rPr>
                <w:rFonts w:ascii="Arial" w:hAnsi="Arial" w:cs="Arial"/>
              </w:rPr>
              <w:t xml:space="preserve">Stablecoin Reserves</w:t>
            </w:r>
          </w:p>
        </w:tc>
        <w:tc>
          <w:p>
            <w:pPr>
              <w:pStyle w:val="Compact"/>
              <w:jc w:val="left"/>
            </w:pPr>
            <w:r>
              <w:rPr>
                <w:rFonts w:ascii="Arial" w:hAnsi="Arial" w:cs="Arial"/>
              </w:rPr>
              <w:t xml:space="preserve">20%</w:t>
            </w:r>
          </w:p>
        </w:tc>
        <w:tc>
          <w:p>
            <w:pPr>
              <w:pStyle w:val="Compact"/>
              <w:jc w:val="left"/>
            </w:pPr>
            <w:r>
              <w:rPr>
                <w:rFonts w:ascii="Arial" w:hAnsi="Arial" w:cs="Arial"/>
              </w:rPr>
              <w:t xml:space="preserve">High</w:t>
            </w:r>
          </w:p>
        </w:tc>
        <w:tc>
          <w:p>
            <w:pPr>
              <w:pStyle w:val="Compact"/>
              <w:jc w:val="left"/>
            </w:pPr>
            <w:r>
              <w:rPr>
                <w:rFonts w:ascii="Arial" w:hAnsi="Arial" w:cs="Arial"/>
              </w:rPr>
              <w:t xml:space="preserve">Major algorithmic stablecoins</w:t>
            </w:r>
          </w:p>
        </w:tc>
      </w:tr>
      <w:tr>
        <w:tc>
          <w:p>
            <w:pPr>
              <w:pStyle w:val="Compact"/>
              <w:jc w:val="left"/>
            </w:pPr>
            <w:r>
              <w:rPr>
                <w:rFonts w:ascii="Arial" w:hAnsi="Arial" w:cs="Arial"/>
              </w:rPr>
              <w:t xml:space="preserve">Sovereign Bonds</w:t>
            </w:r>
          </w:p>
        </w:tc>
        <w:tc>
          <w:p>
            <w:pPr>
              <w:pStyle w:val="Compact"/>
              <w:jc w:val="left"/>
            </w:pPr>
            <w:r>
              <w:rPr>
                <w:rFonts w:ascii="Arial" w:hAnsi="Arial" w:cs="Arial"/>
              </w:rPr>
              <w:t xml:space="preserve">15%</w:t>
            </w:r>
          </w:p>
        </w:tc>
        <w:tc>
          <w:p>
            <w:pPr>
              <w:pStyle w:val="Compact"/>
              <w:jc w:val="left"/>
            </w:pPr>
            <w:r>
              <w:rPr>
                <w:rFonts w:ascii="Arial" w:hAnsi="Arial" w:cs="Arial"/>
              </w:rPr>
              <w:t xml:space="preserve">Medium</w:t>
            </w:r>
          </w:p>
        </w:tc>
        <w:tc>
          <w:p>
            <w:pPr>
              <w:pStyle w:val="Compact"/>
              <w:jc w:val="left"/>
            </w:pPr>
            <w:r>
              <w:rPr>
                <w:rFonts w:ascii="Arial" w:hAnsi="Arial" w:cs="Arial"/>
              </w:rPr>
              <w:t xml:space="preserve">High-grade sovereign bonds</w:t>
            </w:r>
          </w:p>
        </w:tc>
      </w:tr>
      <w:tr>
        <w:tc>
          <w:p>
            <w:pPr>
              <w:pStyle w:val="Compact"/>
              <w:jc w:val="left"/>
            </w:pPr>
            <w:r>
              <w:rPr>
                <w:rFonts w:ascii="Arial" w:hAnsi="Arial" w:cs="Arial"/>
              </w:rPr>
              <w:t xml:space="preserve">Other Assets</w:t>
            </w:r>
          </w:p>
        </w:tc>
        <w:tc>
          <w:p>
            <w:pPr>
              <w:pStyle w:val="Compact"/>
              <w:jc w:val="left"/>
            </w:pPr>
            <w:r>
              <w:rPr>
                <w:rFonts w:ascii="Arial" w:hAnsi="Arial" w:cs="Arial"/>
              </w:rPr>
              <w:t xml:space="preserve">5%</w:t>
            </w:r>
          </w:p>
        </w:tc>
        <w:tc>
          <w:p>
            <w:pPr>
              <w:pStyle w:val="Compact"/>
              <w:jc w:val="left"/>
            </w:pPr>
            <w:r>
              <w:rPr>
                <w:rFonts w:ascii="Arial" w:hAnsi="Arial" w:cs="Arial"/>
              </w:rPr>
              <w:t xml:space="preserve">Low</w:t>
            </w:r>
          </w:p>
        </w:tc>
        <w:tc>
          <w:p>
            <w:pPr>
              <w:pStyle w:val="Compact"/>
              <w:jc w:val="left"/>
            </w:pPr>
            <w:r>
              <w:rPr>
                <w:rFonts w:ascii="Arial" w:hAnsi="Arial" w:cs="Arial"/>
              </w:rPr>
              <w:t xml:space="preserve">Strategic materials, special drawing rights, etc.</w:t>
            </w:r>
          </w:p>
        </w:tc>
      </w:tr>
    </w:tbl>
    <w:p>
      <w:pPr>
        <w:pStyle w:val="BodyText"/>
      </w:pPr>
      <w:r>
        <w:rPr>
          <w:rFonts w:ascii="Arial" w:hAnsi="Arial" w:cs="Arial"/>
          <w:b/>
        </w:rPr>
        <w:t xml:space="preserve">6.5.3 Trigger Conditions and Response Procedure</w:t>
      </w:r>
    </w:p>
    <w:p>
      <w:pPr>
        <w:pStyle w:val="BodyText"/>
      </w:pPr>
      <w:r>
        <w:rPr>
          <w:rFonts w:ascii="Arial" w:hAnsi="Arial" w:cs="Arial"/>
        </w:rPr>
        <w:t xml:space="preserve">When monthly CPI change exceeds 5%, the emergency stabilization procedure is triggered:</w:t>
      </w:r>
    </w:p>
    <w:p>
      <w:pPr>
        <w:numPr>
          <w:ilvl w:val="0"/>
          <w:numId w:val="1019"/>
        </w:numPr>
      </w:pPr>
      <w:r>
        <w:rPr>
          <w:rFonts w:ascii="Arial" w:hAnsi="Arial" w:cs="Arial"/>
        </w:rPr>
        <w:t xml:space="preserve">Step 1: AI system immediately assesses the cause of inflation/deflation (supply shock, demand change, external transmission, etc.).</w:t>
      </w:r>
    </w:p>
    <w:p>
      <w:pPr>
        <w:numPr>
          <w:ilvl w:val="0"/>
          <w:numId w:val="1019"/>
        </w:numPr>
      </w:pPr>
      <w:r>
        <w:rPr>
          <w:rFonts w:ascii="Arial" w:hAnsi="Arial" w:cs="Arial"/>
        </w:rPr>
        <w:t xml:space="preserve">Step 2: Select an adjustment tool combination based on the cause (supply adjustment, interest rate adjustment, reserve requirement adjustment, etc.).</w:t>
      </w:r>
    </w:p>
    <w:p>
      <w:pPr>
        <w:numPr>
          <w:ilvl w:val="0"/>
          <w:numId w:val="1019"/>
        </w:numPr>
      </w:pPr>
      <w:r>
        <w:rPr>
          <w:rFonts w:ascii="Arial" w:hAnsi="Arial" w:cs="Arial"/>
        </w:rPr>
        <w:t xml:space="preserve">Step 3: Submit the adjustment plan to the Elder Council Economic Committee for review (completed within 72 hours).</w:t>
      </w:r>
    </w:p>
    <w:p>
      <w:pPr>
        <w:numPr>
          <w:ilvl w:val="0"/>
          <w:numId w:val="1019"/>
        </w:numPr>
      </w:pPr>
      <w:r>
        <w:rPr>
          <w:rFonts w:ascii="Arial" w:hAnsi="Arial" w:cs="Arial"/>
        </w:rPr>
        <w:t xml:space="preserve">Step 4: Auto-execute upon approval; assess execution effectiveness daily.</w:t>
      </w:r>
    </w:p>
    <w:p>
      <w:pPr>
        <w:numPr>
          <w:ilvl w:val="0"/>
          <w:numId w:val="1019"/>
        </w:numPr>
      </w:pPr>
      <w:r>
        <w:rPr>
          <w:rFonts w:ascii="Arial" w:hAnsi="Arial" w:cs="Arial"/>
        </w:rPr>
        <w:t xml:space="preserve">Step 5: If CPI does not return to within 3% within 7 days, escalate to secondary response (Referendum decides whether to adopt more aggressive measures).</w:t>
      </w:r>
    </w:p>
    <w:p>
      <w:pPr>
        <w:pStyle w:val="FirstParagraph"/>
      </w:pPr>
      <w:r>
        <w:rPr>
          <w:rFonts w:ascii="Arial" w:hAnsi="Arial" w:cs="Arial"/>
          <w:b/>
        </w:rPr>
        <w:t xml:space="preserve">6.6 Verification Methods</w:t>
      </w:r>
    </w:p>
    <w:p>
      <w:pPr>
        <w:numPr>
          <w:ilvl w:val="0"/>
          <w:numId w:val="1020"/>
        </w:numPr>
      </w:pPr>
      <w:r>
        <w:rPr>
          <w:rFonts w:ascii="Arial" w:hAnsi="Arial" w:cs="Arial"/>
          <w:b/>
        </w:rPr>
        <w:t xml:space="preserve">Gini Coefficient Verification:</w:t>
      </w:r>
      <w:r>
        <w:rPr>
          <w:rFonts w:ascii="Arial" w:hAnsi="Arial" w:cs="Arial"/>
        </w:rPr>
        <w:t xml:space="preserve"> Independent statistical institutions verify the Gini Coefficient calculation process and data sources monthly.</w:t>
      </w:r>
    </w:p>
    <w:p>
      <w:pPr>
        <w:numPr>
          <w:ilvl w:val="0"/>
          <w:numId w:val="1020"/>
        </w:numPr>
      </w:pPr>
      <w:r>
        <w:rPr>
          <w:rFonts w:ascii="Arial" w:hAnsi="Arial" w:cs="Arial"/>
          <w:b/>
        </w:rPr>
        <w:t xml:space="preserve">Reserve Fund Verification:</w:t>
      </w:r>
      <w:r>
        <w:rPr>
          <w:rFonts w:ascii="Arial" w:hAnsi="Arial" w:cs="Arial"/>
        </w:rPr>
        <w:t xml:space="preserve"> Reserve fund smart contract balance is automatically compared against UBI distribution needs daily; deviations trigger automatic alerts.</w:t>
      </w:r>
    </w:p>
    <w:p>
      <w:pPr>
        <w:numPr>
          <w:ilvl w:val="0"/>
          <w:numId w:val="1020"/>
        </w:numPr>
      </w:pPr>
      <w:r>
        <w:rPr>
          <w:rFonts w:ascii="Arial" w:hAnsi="Arial" w:cs="Arial"/>
          <w:b/>
        </w:rPr>
        <w:t xml:space="preserve">Foreign Capital Review Verification:</w:t>
      </w:r>
      <w:r>
        <w:rPr>
          <w:rFonts w:ascii="Arial" w:hAnsi="Arial" w:cs="Arial"/>
        </w:rPr>
        <w:t xml:space="preserve"> External audit institutions verify the accuracy rate and miss rate of the AI review module quarterly.</w:t>
      </w:r>
    </w:p>
    <w:p>
      <w:pPr>
        <w:numPr>
          <w:ilvl w:val="0"/>
          <w:numId w:val="1020"/>
        </w:numPr>
      </w:pPr>
      <w:r>
        <w:rPr>
          <w:rFonts w:ascii="Arial" w:hAnsi="Arial" w:cs="Arial"/>
          <w:b/>
        </w:rPr>
        <w:t xml:space="preserve">Monetary Stability Verification:</w:t>
      </w:r>
      <w:r>
        <w:rPr>
          <w:rFonts w:ascii="Arial" w:hAnsi="Arial" w:cs="Arial"/>
        </w:rPr>
        <w:t xml:space="preserve"> Conduct stress tests semi-annually, simulating stabilization mechanism responsiveness under extreme economic scenarios.</w:t>
      </w:r>
    </w:p>
    <w:p>
      <w:pPr>
        <w:pStyle w:val="FirstParagraph"/>
      </w:pPr>
      <w:r>
        <w:rPr>
          <w:rFonts w:ascii="Arial" w:hAnsi="Arial" w:cs="Arial"/>
          <w:b/>
        </w:rPr>
        <w:t xml:space="preserve">Appendix</w:t>
      </w:r>
    </w:p>
    <w:p>
      <w:pPr>
        <w:pStyle w:val="BodyText"/>
      </w:pPr>
      <w:r>
        <w:rPr>
          <w:rFonts w:ascii="Arial" w:hAnsi="Arial" w:cs="Arial"/>
          <w:b/>
        </w:rPr>
        <w:t xml:space="preserve">Appendix A: Key Parameters Quick Reference</w:t>
      </w:r>
    </w:p>
    <w:tbl>
      <w:tblPr>
        <w:tblStyle w:val="Table"/>
        <w:tblW w:type="pct" w:w="5000.0"/>
        <w:tblLook w:firstRow="0"/>
      </w:tblPr>
      <w:tblGrid>
        <w:gridCol w:w="1657"/>
        <w:gridCol w:w="920"/>
        <w:gridCol w:w="1565"/>
        <w:gridCol w:w="2118"/>
        <w:gridCol w:w="1657"/>
      </w:tblGrid>
      <w:tr>
        <w:tc>
          <w:p>
            <w:pPr>
              <w:pStyle w:val="Compact"/>
              <w:jc w:val="left"/>
            </w:pPr>
            <w:r>
              <w:rPr>
                <w:rFonts w:ascii="Arial" w:hAnsi="Arial" w:cs="Arial"/>
                <w:b/>
              </w:rPr>
              <w:t xml:space="preserve">Parameter</w:t>
            </w:r>
          </w:p>
        </w:tc>
        <w:tc>
          <w:p>
            <w:pPr>
              <w:pStyle w:val="Compact"/>
              <w:jc w:val="left"/>
            </w:pPr>
            <w:r>
              <w:rPr>
                <w:rFonts w:ascii="Arial" w:hAnsi="Arial" w:cs="Arial"/>
                <w:b/>
              </w:rPr>
              <w:t xml:space="preserve">Symbol</w:t>
            </w:r>
          </w:p>
        </w:tc>
        <w:tc>
          <w:p>
            <w:pPr>
              <w:pStyle w:val="Compact"/>
              <w:jc w:val="left"/>
            </w:pPr>
            <w:r>
              <w:rPr>
                <w:rFonts w:ascii="Arial" w:hAnsi="Arial" w:cs="Arial"/>
                <w:b/>
              </w:rPr>
              <w:t xml:space="preserve">Default/Range</w:t>
            </w:r>
          </w:p>
        </w:tc>
        <w:tc>
          <w:p>
            <w:pPr>
              <w:pStyle w:val="Compact"/>
              <w:jc w:val="left"/>
            </w:pPr>
            <w:r>
              <w:rPr>
                <w:rFonts w:ascii="Arial" w:hAnsi="Arial" w:cs="Arial"/>
                <w:b/>
              </w:rPr>
              <w:t xml:space="preserve">Adjustment Method</w:t>
            </w:r>
          </w:p>
        </w:tc>
        <w:tc>
          <w:p>
            <w:pPr>
              <w:pStyle w:val="Compact"/>
              <w:jc w:val="left"/>
            </w:pPr>
            <w:r>
              <w:rPr>
                <w:rFonts w:ascii="Arial" w:hAnsi="Arial" w:cs="Arial"/>
                <w:b/>
              </w:rPr>
              <w:t xml:space="preserve">Constitutional Constraint</w:t>
            </w:r>
          </w:p>
        </w:tc>
      </w:tr>
      <w:tr>
        <w:tc>
          <w:p>
            <w:pPr>
              <w:pStyle w:val="Compact"/>
              <w:jc w:val="left"/>
            </w:pPr>
            <w:r>
              <w:rPr>
                <w:rFonts w:ascii="Arial" w:hAnsi="Arial" w:cs="Arial"/>
              </w:rPr>
              <w:t xml:space="preserve">AI Labor Tax Base Rate</w:t>
            </w:r>
          </w:p>
        </w:tc>
        <w:tc>
          <w:p>
            <w:pPr>
              <w:pStyle w:val="Compact"/>
              <w:jc w:val="left"/>
            </w:pPr>
            <w:r>
              <w:rPr>
                <w:rFonts w:ascii="Arial" w:hAnsi="Arial" w:cs="Arial"/>
              </w:rPr>
              <w:t xml:space="preserve">R_base</w:t>
            </w:r>
          </w:p>
        </w:tc>
        <w:tc>
          <w:p>
            <w:pPr>
              <w:pStyle w:val="Compact"/>
              <w:jc w:val="left"/>
            </w:pPr>
            <w:r>
              <w:rPr>
                <w:rFonts w:ascii="Arial" w:hAnsi="Arial" w:cs="Arial"/>
              </w:rPr>
              <w:t xml:space="preserve">0.5%-5.0%</w:t>
            </w:r>
          </w:p>
        </w:tc>
        <w:tc>
          <w:p>
            <w:pPr>
              <w:pStyle w:val="Compact"/>
              <w:jc w:val="left"/>
            </w:pPr>
            <w:r>
              <w:rPr>
                <w:rFonts w:ascii="Arial" w:hAnsi="Arial" w:cs="Arial"/>
              </w:rPr>
              <w:t xml:space="preserve">Referendum (every 2 years)</w:t>
            </w:r>
          </w:p>
        </w:tc>
        <w:tc>
          <w:p>
            <w:pPr>
              <w:pStyle w:val="Compact"/>
              <w:jc w:val="left"/>
            </w:pPr>
            <w:r>
              <w:rPr>
                <w:rFonts w:ascii="Arial" w:hAnsi="Arial" w:cs="Arial"/>
              </w:rPr>
              <w:t xml:space="preserve">Upper and lower limits unmodifiable</w:t>
            </w:r>
          </w:p>
        </w:tc>
      </w:tr>
      <w:tr>
        <w:tc>
          <w:p>
            <w:pPr>
              <w:pStyle w:val="Compact"/>
              <w:jc w:val="left"/>
            </w:pPr>
            <w:r>
              <w:rPr>
                <w:rFonts w:ascii="Arial" w:hAnsi="Arial" w:cs="Arial"/>
              </w:rPr>
              <w:t xml:space="preserve">Job Substitution Factor</w:t>
            </w:r>
          </w:p>
        </w:tc>
        <w:tc>
          <w:p>
            <w:pPr>
              <w:pStyle w:val="Compact"/>
              <w:jc w:val="left"/>
            </w:pPr>
            <w:r>
              <w:rPr>
                <w:rFonts w:ascii="Arial" w:hAnsi="Arial" w:cs="Arial"/>
              </w:rPr>
              <w:t xml:space="preserve">S_i</w:t>
            </w:r>
          </w:p>
        </w:tc>
        <w:tc>
          <w:p>
            <w:pPr>
              <w:pStyle w:val="Compact"/>
              <w:jc w:val="left"/>
            </w:pPr>
            <w:r>
              <w:rPr>
                <w:rFonts w:ascii="Arial" w:hAnsi="Arial" w:cs="Arial"/>
              </w:rPr>
              <w:t xml:space="preserve">0.2-2.8</w:t>
            </w:r>
          </w:p>
        </w:tc>
        <w:tc>
          <w:p>
            <w:pPr>
              <w:pStyle w:val="Compact"/>
              <w:jc w:val="left"/>
            </w:pPr>
            <w:r>
              <w:rPr>
                <w:rFonts w:ascii="Arial" w:hAnsi="Arial" w:cs="Arial"/>
              </w:rPr>
              <w:t xml:space="preserve">Quarterly AI update + Elder Council review</w:t>
            </w:r>
          </w:p>
        </w:tc>
        <w:tc>
          <w:p>
            <w:pPr>
              <w:pStyle w:val="Compact"/>
              <w:jc w:val="left"/>
            </w:pPr>
            <w:r>
              <w:rPr>
                <w:rFonts w:ascii="Arial" w:hAnsi="Arial" w:cs="Arial"/>
              </w:rPr>
              <w:t xml:space="preserve">Upper limit 3.0</w:t>
            </w:r>
          </w:p>
        </w:tc>
      </w:tr>
      <w:tr>
        <w:tc>
          <w:p>
            <w:pPr>
              <w:pStyle w:val="Compact"/>
              <w:jc w:val="left"/>
            </w:pPr>
            <w:r>
              <w:rPr>
                <w:rFonts w:ascii="Arial" w:hAnsi="Arial" w:cs="Arial"/>
              </w:rPr>
              <w:t xml:space="preserve">UBI Base Amount</w:t>
            </w:r>
          </w:p>
        </w:tc>
        <w:tc>
          <w:p>
            <w:pPr>
              <w:pStyle w:val="Compact"/>
              <w:jc w:val="left"/>
            </w:pPr>
            <w:r>
              <w:rPr>
                <w:rFonts w:ascii="Arial" w:hAnsi="Arial" w:cs="Arial"/>
              </w:rPr>
              <w:t xml:space="preserve">B</w:t>
            </w:r>
          </w:p>
        </w:tc>
        <w:tc>
          <w:p>
            <w:pPr>
              <w:pStyle w:val="Compact"/>
              <w:jc w:val="left"/>
            </w:pPr>
            <w:r>
              <w:rPr>
                <w:rFonts w:ascii="Arial" w:hAnsi="Arial" w:cs="Arial"/>
              </w:rPr>
              <w:t xml:space="preserve">≥Minimum living cost</w:t>
            </w:r>
          </w:p>
        </w:tc>
        <w:tc>
          <w:p>
            <w:pPr>
              <w:pStyle w:val="Compact"/>
              <w:jc w:val="left"/>
            </w:pPr>
            <w:r>
              <w:rPr>
                <w:rFonts w:ascii="Arial" w:hAnsi="Arial" w:cs="Arial"/>
              </w:rPr>
              <w:t xml:space="preserve">Quarterly CPI auto-adjustment</w:t>
            </w:r>
          </w:p>
        </w:tc>
        <w:tc>
          <w:p>
            <w:pPr>
              <w:pStyle w:val="Compact"/>
              <w:jc w:val="left"/>
            </w:pPr>
            <w:r>
              <w:rPr>
                <w:rFonts w:ascii="Arial" w:hAnsi="Arial" w:cs="Arial"/>
              </w:rPr>
              <w:t xml:space="preserve">Cannot be below minimum standard</w:t>
            </w:r>
          </w:p>
        </w:tc>
      </w:tr>
      <w:tr>
        <w:tc>
          <w:p>
            <w:pPr>
              <w:pStyle w:val="Compact"/>
              <w:jc w:val="left"/>
            </w:pPr>
            <w:r>
              <w:rPr>
                <w:rFonts w:ascii="Arial" w:hAnsi="Arial" w:cs="Arial"/>
              </w:rPr>
              <w:t xml:space="preserve">Residency Years Factor Cap</w:t>
            </w:r>
          </w:p>
        </w:tc>
        <w:tc>
          <w:p>
            <w:pPr>
              <w:pStyle w:val="Compact"/>
              <w:jc w:val="left"/>
            </w:pPr>
            <w:r>
              <w:rPr>
                <w:rFonts w:ascii="Arial" w:hAnsi="Arial" w:cs="Arial"/>
              </w:rPr>
              <w:t xml:space="preserve">Y_max</w:t>
            </w:r>
          </w:p>
        </w:tc>
        <w:tc>
          <w:p>
            <w:pPr>
              <w:pStyle w:val="Compact"/>
              <w:jc w:val="left"/>
            </w:pPr>
            <w:r>
              <w:rPr>
                <w:rFonts w:ascii="Arial" w:hAnsi="Arial" w:cs="Arial"/>
              </w:rPr>
              <w:t xml:space="preserve">1.20</w:t>
            </w:r>
          </w:p>
        </w:tc>
        <w:tc>
          <w:p>
            <w:pPr>
              <w:pStyle w:val="Compact"/>
              <w:jc w:val="left"/>
            </w:pPr>
            <w:r>
              <w:rPr>
                <w:rFonts w:ascii="Arial" w:hAnsi="Arial" w:cs="Arial"/>
              </w:rPr>
              <w:t xml:space="preserve">Referendum</w:t>
            </w:r>
          </w:p>
        </w:tc>
        <w:tc>
          <w:p>
            <w:pPr>
              <w:pStyle w:val="Compact"/>
              <w:jc w:val="left"/>
            </w:pPr>
            <w:r>
              <w:rPr>
                <w:rFonts w:ascii="Arial" w:hAnsi="Arial" w:cs="Arial"/>
              </w:rPr>
              <w:t xml:space="preserve">Upper limit 1.30</w:t>
            </w:r>
          </w:p>
        </w:tc>
      </w:tr>
      <w:tr>
        <w:tc>
          <w:p>
            <w:pPr>
              <w:pStyle w:val="Compact"/>
              <w:jc w:val="left"/>
            </w:pPr>
            <w:r>
              <w:rPr>
                <w:rFonts w:ascii="Arial" w:hAnsi="Arial" w:cs="Arial"/>
              </w:rPr>
              <w:t xml:space="preserve">Contribution Adjustment Cap</w:t>
            </w:r>
          </w:p>
        </w:tc>
        <w:tc>
          <w:p>
            <w:pPr>
              <w:pStyle w:val="Compact"/>
              <w:jc w:val="left"/>
            </w:pPr>
            <w:r>
              <w:rPr>
                <w:rFonts w:ascii="Arial" w:hAnsi="Arial" w:cs="Arial"/>
              </w:rPr>
              <w:t xml:space="preserve">C_max</w:t>
            </w:r>
          </w:p>
        </w:tc>
        <w:tc>
          <w:p>
            <w:pPr>
              <w:pStyle w:val="Compact"/>
              <w:jc w:val="left"/>
            </w:pPr>
            <w:r>
              <w:rPr>
                <w:rFonts w:ascii="Arial" w:hAnsi="Arial" w:cs="Arial"/>
              </w:rPr>
              <w:t xml:space="preserve">1.50</w:t>
            </w:r>
          </w:p>
        </w:tc>
        <w:tc>
          <w:p>
            <w:pPr>
              <w:pStyle w:val="Compact"/>
              <w:jc w:val="left"/>
            </w:pPr>
            <w:r>
              <w:rPr>
                <w:rFonts w:ascii="Arial" w:hAnsi="Arial" w:cs="Arial"/>
              </w:rPr>
              <w:t xml:space="preserve">Annual evaluation</w:t>
            </w:r>
          </w:p>
        </w:tc>
        <w:tc>
          <w:p>
            <w:pPr>
              <w:pStyle w:val="Compact"/>
              <w:jc w:val="left"/>
            </w:pPr>
            <w:r>
              <w:rPr>
                <w:rFonts w:ascii="Arial" w:hAnsi="Arial" w:cs="Arial"/>
              </w:rPr>
              <w:t xml:space="preserve">Upper limit 1.70</w:t>
            </w:r>
          </w:p>
        </w:tc>
      </w:tr>
      <w:tr>
        <w:tc>
          <w:p>
            <w:pPr>
              <w:pStyle w:val="Compact"/>
              <w:jc w:val="left"/>
            </w:pPr>
            <w:r>
              <w:rPr>
                <w:rFonts w:ascii="Arial" w:hAnsi="Arial" w:cs="Arial"/>
              </w:rPr>
              <w:t xml:space="preserve">Digital Equity Initial Allocation</w:t>
            </w:r>
          </w:p>
        </w:tc>
        <w:tc>
          <w:p>
            <w:pPr>
              <w:pStyle w:val="Compact"/>
              <w:jc w:val="left"/>
            </w:pPr>
            <w:r>
              <w:rPr>
                <w:rFonts w:ascii="Arial" w:hAnsi="Arial" w:cs="Arial"/>
              </w:rPr>
              <w:t xml:space="preserve">-</w:t>
            </w:r>
          </w:p>
        </w:tc>
        <w:tc>
          <w:p>
            <w:pPr>
              <w:pStyle w:val="Compact"/>
              <w:jc w:val="left"/>
            </w:pPr>
            <w:r>
              <w:rPr>
                <w:rFonts w:ascii="Arial" w:hAnsi="Arial" w:cs="Arial"/>
              </w:rPr>
              <w:t xml:space="preserve">1,000 shares/person</w:t>
            </w:r>
          </w:p>
        </w:tc>
        <w:tc>
          <w:p>
            <w:pPr>
              <w:pStyle w:val="Compact"/>
              <w:jc w:val="left"/>
            </w:pPr>
            <w:r>
              <w:rPr>
                <w:rFonts w:ascii="Arial" w:hAnsi="Arial" w:cs="Arial"/>
              </w:rPr>
              <w:t xml:space="preserve">System fixed</w:t>
            </w:r>
          </w:p>
        </w:tc>
        <w:tc>
          <w:p>
            <w:pPr>
              <w:pStyle w:val="Compact"/>
              <w:jc w:val="left"/>
            </w:pPr>
            <w:r>
              <w:rPr>
                <w:rFonts w:ascii="Arial" w:hAnsi="Arial" w:cs="Arial"/>
              </w:rPr>
              <w:t xml:space="preserve">Non-modifiable</w:t>
            </w:r>
          </w:p>
        </w:tc>
      </w:tr>
      <w:tr>
        <w:tc>
          <w:p>
            <w:pPr>
              <w:pStyle w:val="Compact"/>
              <w:jc w:val="left"/>
            </w:pPr>
            <w:r>
              <w:rPr>
                <w:rFonts w:ascii="Arial" w:hAnsi="Arial" w:cs="Arial"/>
              </w:rPr>
              <w:t xml:space="preserve">Dividend Ratio</w:t>
            </w:r>
          </w:p>
        </w:tc>
        <w:tc>
          <w:p>
            <w:pPr>
              <w:pStyle w:val="Compact"/>
              <w:jc w:val="left"/>
            </w:pPr>
            <w:r>
              <w:rPr>
                <w:rFonts w:ascii="Arial" w:hAnsi="Arial" w:cs="Arial"/>
              </w:rPr>
              <w:t xml:space="preserve">-</w:t>
            </w:r>
          </w:p>
        </w:tc>
        <w:tc>
          <w:p>
            <w:pPr>
              <w:pStyle w:val="Compact"/>
              <w:jc w:val="left"/>
            </w:pPr>
            <w:r>
              <w:rPr>
                <w:rFonts w:ascii="Arial" w:hAnsi="Arial" w:cs="Arial"/>
              </w:rPr>
              <w:t xml:space="preserve">30% of net profit</w:t>
            </w:r>
          </w:p>
        </w:tc>
        <w:tc>
          <w:p>
            <w:pPr>
              <w:pStyle w:val="Compact"/>
              <w:jc w:val="left"/>
            </w:pPr>
            <w:r>
              <w:rPr>
                <w:rFonts w:ascii="Arial" w:hAnsi="Arial" w:cs="Arial"/>
              </w:rPr>
              <w:t xml:space="preserve">Constitutionally fixed</w:t>
            </w:r>
          </w:p>
        </w:tc>
        <w:tc>
          <w:p>
            <w:pPr>
              <w:pStyle w:val="Compact"/>
              <w:jc w:val="left"/>
            </w:pPr>
            <w:r>
              <w:rPr>
                <w:rFonts w:ascii="Arial" w:hAnsi="Arial" w:cs="Arial"/>
              </w:rPr>
              <w:t xml:space="preserve">Modification requires Referendum</w:t>
            </w:r>
          </w:p>
        </w:tc>
      </w:tr>
      <w:tr>
        <w:tc>
          <w:p>
            <w:pPr>
              <w:pStyle w:val="Compact"/>
              <w:jc w:val="left"/>
            </w:pPr>
            <w:r>
              <w:rPr>
                <w:rFonts w:ascii="Arial" w:hAnsi="Arial" w:cs="Arial"/>
              </w:rPr>
              <w:t xml:space="preserve">Exit Carryover Ratio</w:t>
            </w:r>
          </w:p>
        </w:tc>
        <w:tc>
          <w:p>
            <w:pPr>
              <w:pStyle w:val="Compact"/>
              <w:jc w:val="left"/>
            </w:pPr>
            <w:r>
              <w:rPr>
                <w:rFonts w:ascii="Arial" w:hAnsi="Arial" w:cs="Arial"/>
              </w:rPr>
              <w:t xml:space="preserve">-</w:t>
            </w:r>
          </w:p>
        </w:tc>
        <w:tc>
          <w:p>
            <w:pPr>
              <w:pStyle w:val="Compact"/>
              <w:jc w:val="left"/>
            </w:pPr>
            <w:r>
              <w:rPr>
                <w:rFonts w:ascii="Arial" w:hAnsi="Arial" w:cs="Arial"/>
              </w:rPr>
              <w:t xml:space="preserve">40%</w:t>
            </w:r>
          </w:p>
        </w:tc>
        <w:tc>
          <w:p>
            <w:pPr>
              <w:pStyle w:val="Compact"/>
              <w:jc w:val="left"/>
            </w:pPr>
            <w:r>
              <w:rPr>
                <w:rFonts w:ascii="Arial" w:hAnsi="Arial" w:cs="Arial"/>
              </w:rPr>
              <w:t xml:space="preserve">Referendum</w:t>
            </w:r>
          </w:p>
        </w:tc>
        <w:tc>
          <w:p>
            <w:pPr>
              <w:pStyle w:val="Compact"/>
              <w:jc w:val="left"/>
            </w:pPr>
            <w:r>
              <w:rPr>
                <w:rFonts w:ascii="Arial" w:hAnsi="Arial" w:cs="Arial"/>
              </w:rPr>
              <w:t xml:space="preserve">Range 30%-50%</w:t>
            </w:r>
          </w:p>
        </w:tc>
      </w:tr>
      <w:tr>
        <w:tc>
          <w:p>
            <w:pPr>
              <w:pStyle w:val="Compact"/>
              <w:jc w:val="left"/>
            </w:pPr>
            <w:r>
              <w:rPr>
                <w:rFonts w:ascii="Arial" w:hAnsi="Arial" w:cs="Arial"/>
              </w:rPr>
              <w:t xml:space="preserve">Gini Coefficient Red Threshold</w:t>
            </w:r>
          </w:p>
        </w:tc>
        <w:tc>
          <w:p>
            <w:pPr>
              <w:pStyle w:val="Compact"/>
              <w:jc w:val="left"/>
            </w:pPr>
            <w:r>
              <w:rPr>
                <w:rFonts w:ascii="Arial" w:hAnsi="Arial" w:cs="Arial"/>
              </w:rPr>
              <w:t xml:space="preserve">-</w:t>
            </w:r>
          </w:p>
        </w:tc>
        <w:tc>
          <w:p>
            <w:pPr>
              <w:pStyle w:val="Compact"/>
              <w:jc w:val="left"/>
            </w:pPr>
            <w:r>
              <w:rPr>
                <w:rFonts w:ascii="Arial" w:hAnsi="Arial" w:cs="Arial"/>
              </w:rPr>
              <w:t xml:space="preserve">0.45</w:t>
            </w:r>
          </w:p>
        </w:tc>
        <w:tc>
          <w:p>
            <w:pPr>
              <w:pStyle w:val="Compact"/>
              <w:jc w:val="left"/>
            </w:pPr>
            <w:r>
              <w:rPr>
                <w:rFonts w:ascii="Arial" w:hAnsi="Arial" w:cs="Arial"/>
              </w:rPr>
              <w:t xml:space="preserve">Elder Council recommendation + Referendum</w:t>
            </w:r>
          </w:p>
        </w:tc>
        <w:tc>
          <w:p>
            <w:pPr>
              <w:pStyle w:val="Compact"/>
              <w:jc w:val="left"/>
            </w:pPr>
            <w:r>
              <w:rPr>
                <w:rFonts w:ascii="Arial" w:hAnsi="Arial" w:cs="Arial"/>
              </w:rPr>
              <w:t xml:space="preserve">Range 0.40-0.50</w:t>
            </w:r>
          </w:p>
        </w:tc>
      </w:tr>
      <w:tr>
        <w:tc>
          <w:p>
            <w:pPr>
              <w:pStyle w:val="Compact"/>
              <w:jc w:val="left"/>
            </w:pPr>
            <w:r>
              <w:rPr>
                <w:rFonts w:ascii="Arial" w:hAnsi="Arial" w:cs="Arial"/>
              </w:rPr>
              <w:t xml:space="preserve">Reserve Fund Months</w:t>
            </w:r>
          </w:p>
        </w:tc>
        <w:tc>
          <w:p>
            <w:pPr>
              <w:pStyle w:val="Compact"/>
              <w:jc w:val="left"/>
            </w:pPr>
            <w:r>
              <w:rPr>
                <w:rFonts w:ascii="Arial" w:hAnsi="Arial" w:cs="Arial"/>
              </w:rPr>
              <w:t xml:space="preserve">-</w:t>
            </w:r>
          </w:p>
        </w:tc>
        <w:tc>
          <w:p>
            <w:pPr>
              <w:pStyle w:val="Compact"/>
              <w:jc w:val="left"/>
            </w:pPr>
            <w:r>
              <w:rPr>
                <w:rFonts w:ascii="Arial" w:hAnsi="Arial" w:cs="Arial"/>
              </w:rPr>
              <w:t xml:space="preserve">12 months</w:t>
            </w:r>
          </w:p>
        </w:tc>
        <w:tc>
          <w:p>
            <w:pPr>
              <w:pStyle w:val="Compact"/>
              <w:jc w:val="left"/>
            </w:pPr>
            <w:r>
              <w:rPr>
                <w:rFonts w:ascii="Arial" w:hAnsi="Arial" w:cs="Arial"/>
              </w:rPr>
              <w:t xml:space="preserve">Constitutionally fixed</w:t>
            </w:r>
          </w:p>
        </w:tc>
        <w:tc>
          <w:p>
            <w:pPr>
              <w:pStyle w:val="Compact"/>
              <w:jc w:val="left"/>
            </w:pPr>
            <w:r>
              <w:rPr>
                <w:rFonts w:ascii="Arial" w:hAnsi="Arial" w:cs="Arial"/>
              </w:rPr>
              <w:t xml:space="preserve">No less than 9 months</w:t>
            </w:r>
          </w:p>
        </w:tc>
      </w:tr>
      <w:tr>
        <w:tc>
          <w:p>
            <w:pPr>
              <w:pStyle w:val="Compact"/>
              <w:jc w:val="left"/>
            </w:pPr>
            <w:r>
              <w:rPr>
                <w:rFonts w:ascii="Arial" w:hAnsi="Arial" w:cs="Arial"/>
              </w:rPr>
              <w:t xml:space="preserve">Foreign Ownership Cap</w:t>
            </w:r>
          </w:p>
        </w:tc>
        <w:tc>
          <w:p>
            <w:pPr>
              <w:pStyle w:val="Compact"/>
              <w:jc w:val="left"/>
            </w:pPr>
            <w:r>
              <w:rPr>
                <w:rFonts w:ascii="Arial" w:hAnsi="Arial" w:cs="Arial"/>
              </w:rPr>
              <w:t xml:space="preserve">-</w:t>
            </w:r>
          </w:p>
        </w:tc>
        <w:tc>
          <w:p>
            <w:pPr>
              <w:pStyle w:val="Compact"/>
              <w:jc w:val="left"/>
            </w:pPr>
            <w:r>
              <w:rPr>
                <w:rFonts w:ascii="Arial" w:hAnsi="Arial" w:cs="Arial"/>
              </w:rPr>
              <w:t xml:space="preserve">Aggregate 30%/Individual 10%</w:t>
            </w:r>
          </w:p>
        </w:tc>
        <w:tc>
          <w:p>
            <w:pPr>
              <w:pStyle w:val="Compact"/>
              <w:jc w:val="left"/>
            </w:pPr>
            <w:r>
              <w:rPr>
                <w:rFonts w:ascii="Arial" w:hAnsi="Arial" w:cs="Arial"/>
              </w:rPr>
              <w:t xml:space="preserve">Elder Council review</w:t>
            </w:r>
          </w:p>
        </w:tc>
        <w:tc>
          <w:p>
            <w:pPr>
              <w:pStyle w:val="Compact"/>
              <w:jc w:val="left"/>
            </w:pPr>
            <w:r>
              <w:rPr>
                <w:rFonts w:ascii="Arial" w:hAnsi="Arial" w:cs="Arial"/>
              </w:rPr>
              <w:t xml:space="preserve">Aggregate not to exceed 40%</w:t>
            </w:r>
          </w:p>
        </w:tc>
      </w:tr>
    </w:tbl>
    <w:p>
      <w:pPr>
        <w:pStyle w:val="BodyText"/>
      </w:pPr>
      <w:r>
        <w:rPr>
          <w:rFonts w:ascii="Arial" w:hAnsi="Arial" w:cs="Arial"/>
          <w:b/>
        </w:rPr>
        <w:t xml:space="preserve">Appendix B: Glossary</w:t>
      </w:r>
    </w:p>
    <w:tbl>
      <w:tblPr>
        <w:tblStyle w:val="Table"/>
        <w:tblW w:type="pct" w:w="5000.0"/>
        <w:tblLook w:firstRow="0"/>
      </w:tblPr>
      <w:tblGrid>
        <w:gridCol w:w="1056"/>
        <w:gridCol w:w="2640"/>
        <w:gridCol w:w="4224"/>
      </w:tblGrid>
      <w:tr>
        <w:tc>
          <w:p>
            <w:pPr>
              <w:pStyle w:val="Compact"/>
              <w:jc w:val="left"/>
            </w:pPr>
            <w:r>
              <w:rPr>
                <w:rFonts w:ascii="Arial" w:hAnsi="Arial" w:cs="Arial"/>
                <w:b/>
              </w:rPr>
              <w:t xml:space="preserve">Term</w:t>
            </w:r>
          </w:p>
        </w:tc>
        <w:tc>
          <w:p>
            <w:pPr>
              <w:pStyle w:val="Compact"/>
              <w:jc w:val="left"/>
            </w:pPr>
            <w:r>
              <w:rPr>
                <w:rFonts w:ascii="Arial" w:hAnsi="Arial" w:cs="Arial"/>
                <w:b/>
              </w:rPr>
              <w:t xml:space="preserve">Full Name</w:t>
            </w:r>
          </w:p>
        </w:tc>
        <w:tc>
          <w:p>
            <w:pPr>
              <w:pStyle w:val="Compact"/>
              <w:jc w:val="left"/>
            </w:pPr>
            <w:r>
              <w:rPr>
                <w:rFonts w:ascii="Arial" w:hAnsi="Arial" w:cs="Arial"/>
                <w:b/>
              </w:rPr>
              <w:t xml:space="preserve">Definition</w:t>
            </w:r>
          </w:p>
        </w:tc>
      </w:tr>
      <w:tr>
        <w:tc>
          <w:p>
            <w:pPr>
              <w:pStyle w:val="Compact"/>
              <w:jc w:val="left"/>
            </w:pPr>
            <w:r>
              <w:rPr>
                <w:rFonts w:ascii="Arial" w:hAnsi="Arial" w:cs="Arial"/>
              </w:rPr>
              <w:t xml:space="preserve">UBI</w:t>
            </w:r>
          </w:p>
        </w:tc>
        <w:tc>
          <w:p>
            <w:pPr>
              <w:pStyle w:val="Compact"/>
              <w:jc w:val="left"/>
            </w:pPr>
            <w:r>
              <w:rPr>
                <w:rFonts w:ascii="Arial" w:hAnsi="Arial" w:cs="Arial"/>
              </w:rPr>
              <w:t xml:space="preserve">Universal Basic Income</w:t>
            </w:r>
          </w:p>
        </w:tc>
        <w:tc>
          <w:p>
            <w:pPr>
              <w:pStyle w:val="Compact"/>
              <w:jc w:val="left"/>
            </w:pPr>
            <w:r>
              <w:rPr>
                <w:rFonts w:ascii="Arial" w:hAnsi="Arial" w:cs="Arial"/>
              </w:rPr>
              <w:t xml:space="preserve">Unconditional periodic payment to all citizens</w:t>
            </w:r>
          </w:p>
        </w:tc>
      </w:tr>
      <w:tr>
        <w:tc>
          <w:p>
            <w:pPr>
              <w:pStyle w:val="Compact"/>
              <w:jc w:val="left"/>
            </w:pPr>
            <w:r>
              <w:rPr>
                <w:rFonts w:ascii="Arial" w:hAnsi="Arial" w:cs="Arial"/>
              </w:rPr>
              <w:t xml:space="preserve">WU</w:t>
            </w:r>
          </w:p>
        </w:tc>
        <w:tc>
          <w:p>
            <w:pPr>
              <w:pStyle w:val="Compact"/>
              <w:jc w:val="left"/>
            </w:pPr>
            <w:r>
              <w:rPr>
                <w:rFonts w:ascii="Arial" w:hAnsi="Arial" w:cs="Arial"/>
              </w:rPr>
              <w:t xml:space="preserve">Work Unit</w:t>
            </w:r>
          </w:p>
        </w:tc>
        <w:tc>
          <w:p>
            <w:pPr>
              <w:pStyle w:val="Compact"/>
              <w:jc w:val="left"/>
            </w:pPr>
            <w:r>
              <w:rPr>
                <w:rFonts w:ascii="Arial" w:hAnsi="Arial" w:cs="Arial"/>
              </w:rPr>
              <w:t xml:space="preserve">Unit of measurement for AI Labor Tax</w:t>
            </w:r>
          </w:p>
        </w:tc>
      </w:tr>
      <w:tr>
        <w:tc>
          <w:p>
            <w:pPr>
              <w:pStyle w:val="Compact"/>
              <w:jc w:val="left"/>
            </w:pPr>
            <w:r>
              <w:rPr>
                <w:rFonts w:ascii="Arial" w:hAnsi="Arial" w:cs="Arial"/>
              </w:rPr>
              <w:t xml:space="preserve">S</w:t>
            </w:r>
          </w:p>
        </w:tc>
        <w:tc>
          <w:p>
            <w:pPr>
              <w:pStyle w:val="Compact"/>
              <w:jc w:val="left"/>
            </w:pPr>
            <w:r>
              <w:rPr>
                <w:rFonts w:ascii="Arial" w:hAnsi="Arial" w:cs="Arial"/>
              </w:rPr>
              <w:t xml:space="preserve">Substitution Factor</w:t>
            </w:r>
          </w:p>
        </w:tc>
        <w:tc>
          <w:p>
            <w:pPr>
              <w:pStyle w:val="Compact"/>
              <w:jc w:val="left"/>
            </w:pPr>
            <w:r>
              <w:rPr>
                <w:rFonts w:ascii="Arial" w:hAnsi="Arial" w:cs="Arial"/>
              </w:rPr>
              <w:t xml:space="preserve">Measure of the degree to which AI replaces human labor</w:t>
            </w:r>
          </w:p>
        </w:tc>
      </w:tr>
      <w:tr>
        <w:tc>
          <w:p>
            <w:pPr>
              <w:pStyle w:val="Compact"/>
              <w:jc w:val="left"/>
            </w:pPr>
            <w:r>
              <w:rPr>
                <w:rFonts w:ascii="Arial" w:hAnsi="Arial" w:cs="Arial"/>
              </w:rPr>
              <w:t xml:space="preserve">CPI</w:t>
            </w:r>
          </w:p>
        </w:tc>
        <w:tc>
          <w:p>
            <w:pPr>
              <w:pStyle w:val="Compact"/>
              <w:jc w:val="left"/>
            </w:pPr>
            <w:r>
              <w:rPr>
                <w:rFonts w:ascii="Arial" w:hAnsi="Arial" w:cs="Arial"/>
              </w:rPr>
              <w:t xml:space="preserve">Consumer Price Index</w:t>
            </w:r>
          </w:p>
        </w:tc>
        <w:tc>
          <w:p>
            <w:pPr>
              <w:pStyle w:val="Compact"/>
              <w:jc w:val="left"/>
            </w:pPr>
            <w:r>
              <w:rPr>
                <w:rFonts w:ascii="Arial" w:hAnsi="Arial" w:cs="Arial"/>
              </w:rPr>
              <w:t xml:space="preserve">Measure of inflation levels</w:t>
            </w:r>
          </w:p>
        </w:tc>
      </w:tr>
      <w:tr>
        <w:tc>
          <w:p>
            <w:pPr>
              <w:pStyle w:val="Compact"/>
              <w:jc w:val="left"/>
            </w:pPr>
            <w:r>
              <w:rPr>
                <w:rFonts w:ascii="Arial" w:hAnsi="Arial" w:cs="Arial"/>
              </w:rPr>
              <w:t xml:space="preserve">NFT</w:t>
            </w:r>
          </w:p>
        </w:tc>
        <w:tc>
          <w:p>
            <w:pPr>
              <w:pStyle w:val="Compact"/>
              <w:jc w:val="left"/>
            </w:pPr>
            <w:r>
              <w:rPr>
                <w:rFonts w:ascii="Arial" w:hAnsi="Arial" w:cs="Arial"/>
              </w:rPr>
              <w:t xml:space="preserve">Non-Fungible Token</w:t>
            </w:r>
          </w:p>
        </w:tc>
        <w:tc>
          <w:p>
            <w:pPr>
              <w:pStyle w:val="Compact"/>
              <w:jc w:val="left"/>
            </w:pPr>
            <w:r>
              <w:rPr>
                <w:rFonts w:ascii="Arial" w:hAnsi="Arial" w:cs="Arial"/>
              </w:rPr>
              <w:t xml:space="preserve">Token representing unique digital assets</w:t>
            </w:r>
          </w:p>
        </w:tc>
      </w:tr>
      <w:tr>
        <w:tc>
          <w:p>
            <w:pPr>
              <w:pStyle w:val="Compact"/>
              <w:jc w:val="left"/>
            </w:pPr>
            <w:r>
              <w:rPr>
                <w:rFonts w:ascii="Arial" w:hAnsi="Arial" w:cs="Arial"/>
              </w:rPr>
              <w:t xml:space="preserve">TPM</w:t>
            </w:r>
          </w:p>
        </w:tc>
        <w:tc>
          <w:p>
            <w:pPr>
              <w:pStyle w:val="Compact"/>
              <w:jc w:val="left"/>
            </w:pPr>
            <w:r>
              <w:rPr>
                <w:rFonts w:ascii="Arial" w:hAnsi="Arial" w:cs="Arial"/>
              </w:rPr>
              <w:t xml:space="preserve">Trusted Platform Module</w:t>
            </w:r>
          </w:p>
        </w:tc>
        <w:tc>
          <w:p>
            <w:pPr>
              <w:pStyle w:val="Compact"/>
              <w:jc w:val="left"/>
            </w:pPr>
            <w:r>
              <w:rPr>
                <w:rFonts w:ascii="Arial" w:hAnsi="Arial" w:cs="Arial"/>
              </w:rPr>
              <w:t xml:space="preserve">Hardware-level security assurance</w:t>
            </w:r>
          </w:p>
        </w:tc>
      </w:tr>
    </w:tbl>
    <w:p>
      <w:pPr>
        <w:pStyle w:val="BodyText"/>
      </w:pPr>
      <w:r>
        <w:rPr>
          <w:rFonts w:ascii="Arial" w:hAnsi="Arial" w:cs="Arial"/>
          <w:b/>
        </w:rPr>
        <w:t xml:space="preserve">Appendix C: References</w:t>
      </w:r>
    </w:p>
    <w:p>
      <w:pPr>
        <w:numPr>
          <w:ilvl w:val="0"/>
          <w:numId w:val="1021"/>
        </w:numPr>
      </w:pPr>
      <w:r>
        <w:rPr>
          <w:rFonts w:ascii="Arial" w:hAnsi="Arial" w:cs="Arial"/>
        </w:rPr>
        <w:t xml:space="preserve">Banerjee, A. et al. (2019). “Universal Basic Income in Developing Countries.” </w:t>
      </w:r>
      <w:r>
        <w:rPr>
          <w:rFonts w:ascii="Arial" w:hAnsi="Arial" w:cs="Arial"/>
          <w:i/>
        </w:rPr>
        <w:t xml:space="preserve">Annual Review of Economics</w:t>
      </w:r>
      <w:r>
        <w:rPr>
          <w:rFonts w:ascii="Arial" w:hAnsi="Arial" w:cs="Arial"/>
        </w:rPr>
        <w:t xml:space="preserve">.</w:t>
      </w:r>
    </w:p>
    <w:p>
      <w:pPr>
        <w:numPr>
          <w:ilvl w:val="0"/>
          <w:numId w:val="1021"/>
        </w:numPr>
      </w:pPr>
      <w:r>
        <w:rPr>
          <w:rFonts w:ascii="Arial" w:hAnsi="Arial" w:cs="Arial"/>
        </w:rPr>
        <w:t xml:space="preserve">Bostrom, N. (2014). </w:t>
      </w:r>
      <w:r>
        <w:rPr>
          <w:rFonts w:ascii="Arial" w:hAnsi="Arial" w:cs="Arial"/>
          <w:i/>
        </w:rPr>
        <w:t xml:space="preserve">Superintelligence: Paths, Dangers, Strategies</w:t>
      </w:r>
      <w:r>
        <w:rPr>
          <w:rFonts w:ascii="Arial" w:hAnsi="Arial" w:cs="Arial"/>
        </w:rPr>
        <w:t xml:space="preserve">. Oxford University Press.</w:t>
      </w:r>
    </w:p>
    <w:p>
      <w:pPr>
        <w:numPr>
          <w:ilvl w:val="0"/>
          <w:numId w:val="1021"/>
        </w:numPr>
      </w:pPr>
      <w:r>
        <w:rPr>
          <w:rFonts w:ascii="Arial" w:hAnsi="Arial" w:cs="Arial"/>
        </w:rPr>
        <w:t xml:space="preserve">NIST (2024). </w:t>
      </w:r>
      <w:r>
        <w:rPr>
          <w:rFonts w:ascii="Arial" w:hAnsi="Arial" w:cs="Arial"/>
          <w:i/>
        </w:rPr>
        <w:t xml:space="preserve">Post-Quantum Cryptography Standardization</w:t>
      </w:r>
      <w:r>
        <w:rPr>
          <w:rFonts w:ascii="Arial" w:hAnsi="Arial" w:cs="Arial"/>
        </w:rPr>
        <w:t xml:space="preserve">. National Institute of Standards and Technology.</w:t>
      </w:r>
    </w:p>
    <w:p>
      <w:pPr>
        <w:numPr>
          <w:ilvl w:val="0"/>
          <w:numId w:val="1021"/>
        </w:numPr>
      </w:pPr>
      <w:r>
        <w:rPr>
          <w:rFonts w:ascii="Arial" w:hAnsi="Arial" w:cs="Arial"/>
        </w:rPr>
        <w:t>World Economic Forum (2025). “The Future of Jobs Report.” Geneva.</w:t>
      </w:r>
    </w:p>
    <w:p>
      <w:pPr>
        <w:numPr>
          <w:ilvl w:val="0"/>
          <w:numId w:val="1021"/>
        </w:numPr>
      </w:pPr>
      <w:r>
        <w:rPr>
          <w:rFonts w:ascii="Arial" w:hAnsi="Arial" w:cs="Arial"/>
        </w:rPr>
        <w:t xml:space="preserve">Transparency International (2025). </w:t>
      </w:r>
      <w:r>
        <w:rPr>
          <w:rFonts w:ascii="Arial" w:hAnsi="Arial" w:cs="Arial"/>
          <w:i/>
        </w:rPr>
        <w:t xml:space="preserve">Corruption Perceptions Index Methodology</w:t>
      </w:r>
      <w:r>
        <w:rPr>
          <w:rFonts w:ascii="Arial" w:hAnsi="Arial" w:cs="Arial"/>
        </w:rPr>
        <w:t xml:space="preserve">.</w:t>
      </w:r>
    </w:p>
    <w:p>
      <w:pPr>
        <w:numPr>
          <w:ilvl w:val="0"/>
          <w:numId w:val="1021"/>
        </w:numPr>
      </w:pPr>
      <w:r>
        <w:rPr>
          <w:rFonts w:ascii="Arial" w:hAnsi="Arial" w:cs="Arial"/>
        </w:rPr>
        <w:t xml:space="preserve">DAOTONG Constitution (2026). Articles IV-VII: Economic Rights and Fiscal Governance.</w:t>
      </w:r>
    </w:p>
    <w:p>
      <w:pPr>
        <w:pStyle w:val="FirstParagraph"/>
      </w:pPr>
      <w:r>
        <w:rPr>
          <w:rFonts w:ascii="Arial" w:hAnsi="Arial" w:cs="Arial"/>
          <w:b/>
        </w:rPr>
        <w:t xml:space="preserve">Appendix D: Document Version History</w:t>
      </w:r>
    </w:p>
    <w:tbl>
      <w:tblPr>
        <w:tblStyle w:val="Table"/>
        <w:tblW w:type="pct" w:w="0.0"/>
        <w:tblLook w:firstRow="0"/>
      </w:tblPr>
      <w:tblGrid/>
      <w:tr>
        <w:tc>
          <w:p>
            <w:pPr>
              <w:pStyle w:val="Compact"/>
              <w:jc w:val="left"/>
            </w:pPr>
            <w:r>
              <w:rPr>
                <w:rFonts w:ascii="Arial" w:hAnsi="Arial" w:cs="Arial"/>
                <w:b/>
              </w:rPr>
              <w:t xml:space="preserve">Version</w:t>
            </w:r>
          </w:p>
        </w:tc>
        <w:tc>
          <w:p>
            <w:pPr>
              <w:pStyle w:val="Compact"/>
              <w:jc w:val="left"/>
            </w:pPr>
            <w:r>
              <w:rPr>
                <w:rFonts w:ascii="Arial" w:hAnsi="Arial" w:cs="Arial"/>
                <w:b/>
              </w:rPr>
              <w:t xml:space="preserve">Date</w:t>
            </w:r>
          </w:p>
        </w:tc>
        <w:tc>
          <w:p>
            <w:pPr>
              <w:pStyle w:val="Compact"/>
              <w:jc w:val="left"/>
            </w:pPr>
            <w:r>
              <w:rPr>
                <w:rFonts w:ascii="Arial" w:hAnsi="Arial" w:cs="Arial"/>
                <w:b/>
              </w:rPr>
              <w:t xml:space="preserve">Changes</w:t>
            </w:r>
          </w:p>
        </w:tc>
        <w:tc>
          <w:p>
            <w:pPr>
              <w:pStyle w:val="Compact"/>
              <w:jc w:val="left"/>
            </w:pPr>
            <w:r>
              <w:rPr>
                <w:rFonts w:ascii="Arial" w:hAnsi="Arial" w:cs="Arial"/>
                <w:b/>
              </w:rPr>
              <w:t xml:space="preserve">Reviewer</w:t>
            </w:r>
          </w:p>
        </w:tc>
      </w:tr>
      <w:tr>
        <w:tc>
          <w:p>
            <w:pPr>
              <w:pStyle w:val="Compact"/>
              <w:jc w:val="left"/>
            </w:pPr>
            <w:r>
              <w:rPr>
                <w:rFonts w:ascii="Arial" w:hAnsi="Arial" w:cs="Arial"/>
              </w:rPr>
              <w:t xml:space="preserve">V0.1</w:t>
            </w:r>
          </w:p>
        </w:tc>
        <w:tc>
          <w:p>
            <w:pPr>
              <w:pStyle w:val="Compact"/>
              <w:jc w:val="left"/>
            </w:pPr>
            <w:r>
              <w:rPr>
                <w:rFonts w:ascii="Arial" w:hAnsi="Arial" w:cs="Arial"/>
              </w:rPr>
              <w:t xml:space="preserve">2026-03-15</w:t>
            </w:r>
          </w:p>
        </w:tc>
        <w:tc>
          <w:p>
            <w:pPr>
              <w:pStyle w:val="Compact"/>
              <w:jc w:val="left"/>
            </w:pPr>
            <w:r>
              <w:rPr>
                <w:rFonts w:ascii="Arial" w:hAnsi="Arial" w:cs="Arial"/>
              </w:rPr>
              <w:t xml:space="preserve">Initial framework design</w:t>
            </w:r>
          </w:p>
        </w:tc>
        <w:tc>
          <w:p>
            <w:pPr>
              <w:pStyle w:val="Compact"/>
              <w:jc w:val="left"/>
            </w:pPr>
            <w:r>
              <w:rPr>
                <w:rFonts w:ascii="Arial" w:hAnsi="Arial" w:cs="Arial"/>
              </w:rPr>
              <w:t xml:space="preserve">DAOTONG Architecture Team</w:t>
            </w:r>
          </w:p>
        </w:tc>
      </w:tr>
      <w:tr>
        <w:tc>
          <w:p>
            <w:pPr>
              <w:pStyle w:val="Compact"/>
              <w:jc w:val="left"/>
            </w:pPr>
            <w:r>
              <w:rPr>
                <w:rFonts w:ascii="Arial" w:hAnsi="Arial" w:cs="Arial"/>
              </w:rPr>
              <w:t xml:space="preserve">V0.5</w:t>
            </w:r>
          </w:p>
        </w:tc>
        <w:tc>
          <w:p>
            <w:pPr>
              <w:pStyle w:val="Compact"/>
              <w:jc w:val="left"/>
            </w:pPr>
            <w:r>
              <w:rPr>
                <w:rFonts w:ascii="Arial" w:hAnsi="Arial" w:cs="Arial"/>
              </w:rPr>
              <w:t xml:space="preserve">2026-04-20</w:t>
            </w:r>
          </w:p>
        </w:tc>
        <w:tc>
          <w:p>
            <w:pPr>
              <w:pStyle w:val="Compact"/>
              <w:jc w:val="left"/>
            </w:pPr>
            <w:r>
              <w:rPr>
                <w:rFonts w:ascii="Arial" w:hAnsi="Arial" w:cs="Arial"/>
              </w:rPr>
              <w:t xml:space="preserve">AI Labor Tax formula refinement</w:t>
            </w:r>
          </w:p>
        </w:tc>
        <w:tc>
          <w:p>
            <w:pPr>
              <w:pStyle w:val="Compact"/>
              <w:jc w:val="left"/>
            </w:pPr>
            <w:r>
              <w:rPr>
                <w:rFonts w:ascii="Arial" w:hAnsi="Arial" w:cs="Arial"/>
              </w:rPr>
              <w:t xml:space="preserve">Economic Committee</w:t>
            </w:r>
          </w:p>
        </w:tc>
      </w:tr>
      <w:tr>
        <w:tc>
          <w:p>
            <w:pPr>
              <w:pStyle w:val="Compact"/>
              <w:jc w:val="left"/>
            </w:pPr>
            <w:r>
              <w:rPr>
                <w:rFonts w:ascii="Arial" w:hAnsi="Arial" w:cs="Arial"/>
              </w:rPr>
              <w:t xml:space="preserve">V0.8</w:t>
            </w:r>
          </w:p>
        </w:tc>
        <w:tc>
          <w:p>
            <w:pPr>
              <w:pStyle w:val="Compact"/>
              <w:jc w:val="left"/>
            </w:pPr>
            <w:r>
              <w:rPr>
                <w:rFonts w:ascii="Arial" w:hAnsi="Arial" w:cs="Arial"/>
              </w:rPr>
              <w:t xml:space="preserve">2026-05-30</w:t>
            </w:r>
          </w:p>
        </w:tc>
        <w:tc>
          <w:p>
            <w:pPr>
              <w:pStyle w:val="Compact"/>
              <w:jc w:val="left"/>
            </w:pPr>
            <w:r>
              <w:rPr>
                <w:rFonts w:ascii="Arial" w:hAnsi="Arial" w:cs="Arial"/>
              </w:rPr>
              <w:t xml:space="preserve">Risk protection mechanisms added</w:t>
            </w:r>
          </w:p>
        </w:tc>
        <w:tc>
          <w:p>
            <w:pPr>
              <w:pStyle w:val="Compact"/>
              <w:jc w:val="left"/>
            </w:pPr>
            <w:r>
              <w:rPr>
                <w:rFonts w:ascii="Arial" w:hAnsi="Arial" w:cs="Arial"/>
              </w:rPr>
              <w:t xml:space="preserve">Security Committee</w:t>
            </w:r>
          </w:p>
        </w:tc>
      </w:tr>
      <w:tr>
        <w:tc>
          <w:p>
            <w:pPr>
              <w:pStyle w:val="Compact"/>
              <w:jc w:val="left"/>
            </w:pPr>
            <w:r>
              <w:rPr>
                <w:rFonts w:ascii="Arial" w:hAnsi="Arial" w:cs="Arial"/>
              </w:rPr>
              <w:t xml:space="preserve">V1.0</w:t>
            </w:r>
          </w:p>
        </w:tc>
        <w:tc>
          <w:p>
            <w:pPr>
              <w:pStyle w:val="Compact"/>
              <w:jc w:val="left"/>
            </w:pPr>
            <w:r>
              <w:rPr>
                <w:rFonts w:ascii="Arial" w:hAnsi="Arial" w:cs="Arial"/>
              </w:rPr>
              <w:t xml:space="preserve">2026-06-28</w:t>
            </w:r>
          </w:p>
        </w:tc>
        <w:tc>
          <w:p>
            <w:pPr>
              <w:pStyle w:val="Compact"/>
              <w:jc w:val="left"/>
            </w:pPr>
            <w:r>
              <w:rPr>
                <w:rFonts w:ascii="Arial" w:hAnsi="Arial" w:cs="Arial"/>
              </w:rPr>
              <w:t xml:space="preserve">Complete release version</w:t>
            </w:r>
          </w:p>
        </w:tc>
        <w:tc>
          <w:p>
            <w:pPr>
              <w:pStyle w:val="Compact"/>
              <w:jc w:val="left"/>
            </w:pPr>
            <w:r>
              <w:rPr>
                <w:rFonts w:ascii="Arial" w:hAnsi="Arial" w:cs="Arial"/>
              </w:rPr>
              <w:t xml:space="preserve">Elder Council Approved</w:t>
            </w:r>
          </w:p>
        </w:tc>
      </w:tr>
    </w:tbl>
    <w:sectPr w:rsidR="00FC693F" w:rsidRPr="0006063C" w:rsidSect="00034616">
      <w:headerReference w:type="default" r:id="rId9"/>
      <w:footerReference w:type="default" r:id="rId10"/>
      <w:pgSz w:w="12240" w:h="15840"/>
      <w:pgMar w:top="1440" w:right="1728" w:bottom="1440" w:left="1728"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8"/>
      </w:rPr>
      <w:t xml:space="preserve">Page </w:t>
    </w:r>
    <w:r>
      <w:fldChar w:fldCharType="begin"/>
    </w:r>
    <w:r>
      <w:instrText xml:space="preserve"> PAGE </w:instrText>
    </w:r>
    <w:r>
      <w:fldChar w:fldCharType="end"/>
    </w:r>
    <w:r>
      <w:rPr>
        <w:rFonts w:ascii="Arial" w:hAnsi="Arial"/>
        <w:sz w:val="18"/>
      </w:rPr>
      <w:t xml:space="preserve"> of </w:t>
    </w:r>
    <w:r>
      <w:fldChar w:fldCharType="begin"/>
    </w:r>
    <w:r>
      <w:instrText xml:space="preserve"> NUMPAGES </w:instrText>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color w:val="808080"/>
        <w:sz w:val="16"/>
      </w:rPr>
      <w:t>DAOTONG · AI Fiscal &amp; Economic System Specification · Confidentiality: Public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20" Type="http://schemas.openxmlformats.org/officeDocument/2006/relationships/image" Target="media/rId20.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2026-06-28T11:30:41Z</dcterms:created>
  <dcterms:modified xsi:type="dcterms:W3CDTF">2026-06-28T11:30:41Z</dcterms:modified>
</cp:coreProperties>
</file>

<file path=docProps/custom.xml><?xml version="1.0" encoding="utf-8"?>
<Properties xmlns="http://schemas.openxmlformats.org/officeDocument/2006/custom-properties" xmlns:vt="http://schemas.openxmlformats.org/officeDocument/2006/docPropsVTypes"/>
</file>