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rFonts w:ascii="Arial" w:hAnsi="Arial" w:cs="Arial"/>
          <w:b/>
        </w:rPr>
        <w:t xml:space="preserve">DAOTONG</w:t>
      </w:r>
    </w:p>
    <w:p>
      <w:pPr>
        <w:pStyle w:val="BodyText"/>
      </w:pPr>
      <w:r>
        <w:rPr>
          <w:rFonts w:ascii="Arial" w:hAnsi="Arial" w:cs="Arial"/>
          <w:b/>
        </w:rPr>
        <w:t xml:space="preserve">AI Ethics and Value Alignment System</w:t>
      </w:r>
    </w:p>
    <w:p>
      <w:pPr>
        <w:pStyle w:val="BodyText"/>
      </w:pPr>
      <w:r>
        <w:rPr>
          <w:rFonts w:ascii="Arial" w:hAnsi="Arial" w:cs="Arial"/>
        </w:rPr>
        <w:t xml:space="preserve">Complete Design Specification</w:t>
      </w:r>
    </w:p>
    <w:p>
      <w:pPr>
        <w:pStyle w:val="BodyText"/>
      </w:pPr>
      <w:r>
        <w:rPr>
          <w:rFonts w:ascii="Arial" w:hAnsi="Arial" w:cs="Arial"/>
        </w:rPr>
        <w:t xml:space="preserve">v1.0 · Public Review Draft</w:t>
      </w:r>
    </w:p>
    <w:p>
      <w:pPr>
        <w:pStyle w:val="BodyText"/>
      </w:pPr>
      <w:r>
        <w:rPr>
          <w:rFonts w:ascii="Arial" w:hAnsi="Arial" w:cs="Arial"/>
        </w:rPr>
        <w:t xml:space="preserve">June 2026</w:t>
      </w:r>
    </w:p>
    <w:p>
      <w:pPr>
        <w:pStyle w:val="BodyText"/>
      </w:pPr>
      <w:r>
        <w:rPr>
          <w:rFonts w:ascii="Arial" w:hAnsi="Arial" w:cs="Arial"/>
        </w:rPr>
        <w:t xml:space="preserve">DAOTONG Project Team</w:t>
      </w:r>
    </w:p>
    <w:p>
      <w:pPr>
        <w:pStyle w:val="BodyText"/>
      </w:pPr>
      <w:r>
        <w:rPr>
          <w:rFonts w:ascii="Arial" w:hAnsi="Arial" w:cs="Arial"/>
          <w:i/>
        </w:rPr>
        <w:t xml:space="preserve">This document is a public review draft. Comments and suggestions from all stakeholders are welcome.</w:t>
      </w:r>
    </w:p>
    <w:p>
      <w:pPr>
        <w:pStyle w:val="BodyText"/>
      </w:pPr>
      <w:r>
        <w:rPr>
          <w:rFonts w:ascii="Arial" w:hAnsi="Arial" w:cs="Arial"/>
          <w:b/>
        </w:rPr>
        <w:t xml:space="preserve">Table of Contents</w:t>
      </w:r>
    </w:p>
    <w:p>
      <w:pPr>
        <w:numPr>
          <w:ilvl w:val="0"/>
          <w:numId w:val="1001"/>
        </w:numPr>
        <w:pStyle w:val="Compact"/>
      </w:pPr>
      <w:r>
        <w:rPr>
          <w:rFonts w:ascii="Arial" w:hAnsi="Arial" w:cs="Arial"/>
        </w:rPr>
        <w:t xml:space="preserve">Architecture Overview</w:t>
      </w:r>
    </w:p>
    <w:p>
      <w:pPr>
        <w:numPr>
          <w:ilvl w:val="0"/>
          <w:numId w:val="1001"/>
        </w:numPr>
        <w:pStyle w:val="Compact"/>
      </w:pPr>
      <w:r>
        <w:rPr>
          <w:rFonts w:ascii="Arial" w:hAnsi="Arial" w:cs="Arial"/>
        </w:rPr>
        <w:t xml:space="preserve">Value Anchoring Layers (Four-Layer Architecture)</w:t>
      </w:r>
    </w:p>
    <w:p>
      <w:pPr>
        <w:numPr>
          <w:ilvl w:val="0"/>
          <w:numId w:val="1001"/>
        </w:numPr>
        <w:pStyle w:val="Compact"/>
      </w:pPr>
      <w:r>
        <w:rPr>
          <w:rFonts w:ascii="Arial" w:hAnsi="Arial" w:cs="Arial"/>
        </w:rPr>
        <w:t xml:space="preserve">Six Constitutional Value Principles (Permanently Anchored)</w:t>
      </w:r>
    </w:p>
    <w:p>
      <w:pPr>
        <w:numPr>
          <w:ilvl w:val="0"/>
          <w:numId w:val="1001"/>
        </w:numPr>
        <w:pStyle w:val="Compact"/>
      </w:pPr>
      <w:r>
        <w:rPr>
          <w:rFonts w:ascii="Arial" w:hAnsi="Arial" w:cs="Arial"/>
        </w:rPr>
        <w:t xml:space="preserve">Global Ethics Audit Board</w:t>
      </w:r>
    </w:p>
    <w:p>
      <w:pPr>
        <w:numPr>
          <w:ilvl w:val="0"/>
          <w:numId w:val="1001"/>
        </w:numPr>
        <w:pStyle w:val="Compact"/>
      </w:pPr>
      <w:r>
        <w:rPr>
          <w:rFonts w:ascii="Arial" w:hAnsi="Arial" w:cs="Arial"/>
        </w:rPr>
        <w:t xml:space="preserve">Value Drift Detection System</w:t>
      </w:r>
    </w:p>
    <w:p>
      <w:pPr>
        <w:numPr>
          <w:ilvl w:val="0"/>
          <w:numId w:val="1001"/>
        </w:numPr>
        <w:pStyle w:val="Compact"/>
      </w:pPr>
      <w:r>
        <w:rPr>
          <w:rFonts w:ascii="Arial" w:hAnsi="Arial" w:cs="Arial"/>
        </w:rPr>
        <w:t xml:space="preserve">Three Ethical Dilemmas with Pre-Designed Answers</w:t>
      </w:r>
    </w:p>
    <w:p>
      <w:pPr>
        <w:numPr>
          <w:ilvl w:val="0"/>
          <w:numId w:val="1001"/>
        </w:numPr>
        <w:pStyle w:val="Compact"/>
      </w:pPr>
      <w:r>
        <w:rPr>
          <w:rFonts w:ascii="Arial" w:hAnsi="Arial" w:cs="Arial"/>
        </w:rPr>
        <w:t xml:space="preserve">System Interfaces and Integration Specifications</w:t>
      </w:r>
    </w:p>
    <w:p>
      <w:pPr>
        <w:numPr>
          <w:ilvl w:val="0"/>
          <w:numId w:val="1001"/>
        </w:numPr>
        <w:pStyle w:val="Compact"/>
      </w:pPr>
      <w:r>
        <w:rPr>
          <w:rFonts w:ascii="Arial" w:hAnsi="Arial" w:cs="Arial"/>
        </w:rPr>
        <w:t xml:space="preserve">Appendices</w:t>
      </w:r>
    </w:p>
    <w:p>
      <w:pPr>
        <w:pStyle w:val="FirstParagraph"/>
      </w:pPr>
      <w:r>
        <w:rPr>
          <w:rFonts w:ascii="Arial" w:hAnsi="Arial" w:cs="Arial"/>
          <w:b/>
        </w:rPr>
        <w:t xml:space="preserve">1. Architecture Overview</w:t>
      </w:r>
    </w:p>
    <w:p>
      <w:pPr>
        <w:pStyle w:val="BodyText"/>
      </w:pPr>
      <w:r>
        <w:rPr>
          <w:rFonts w:ascii="Arial" w:hAnsi="Arial" w:cs="Arial"/>
        </w:rPr>
        <w:t>The DAOTONG AI Ethics and Value Alignment System (hereinafter referred to as “the Alignment System”) is the core assurance layer of the DAOTONG governance architecture, designed to ensure that all AI decision-making behaviors remain consistent with the fundamental ethical principles of human society at the value level. This system is not a simple rule engine or compliance checker; rather, it is a multi-layered, evolvable, and auditable value alignment framework that covers the complete chain from the most abstract constitutional principles to the most specific AI execution outputs.</w:t>
      </w:r>
    </w:p>
    <w:p>
      <w:pPr>
        <w:pStyle w:val="BodyText"/>
      </w:pPr>
      <w:r>
        <w:rPr>
          <w:rFonts w:ascii="Arial" w:hAnsi="Arial" w:cs="Arial"/>
        </w:rPr>
        <w:t>The design philosophy of the Alignment System is rooted in three core tenets: First, values must be anchorable—there must exist a set of unmodifiable core principles serving as the foundation for system operation. Second, alignment must be verifiable—the value compliance of any AI decision can be independently audited and verified. Third, the system must be evolvable—changes in societal values can be reflected in the system through institutionalized procedures, rather than through informal “gradual shifts.”</w:t>
      </w:r>
    </w:p>
    <w:p>
      <w:pPr>
        <w:pStyle w:val="BodyText"/>
      </w:pPr>
      <w:r>
        <w:rPr>
          <w:rFonts w:ascii="Arial" w:hAnsi="Arial" w:cs="Arial"/>
        </w:rPr>
        <w:t xml:space="preserve">This system consists of five interrelated but functionally independent modules, forming a complete value transmission chain from the abstract to the concrete: the Value Anchoring Layers are responsible for transforming abstract principles into executable rules; the Six Constitutional Value Principles constitute the unmodifiable core benchmark; the Global Ethics Audit Board provides independent oversight; the Value Drift Detection System ensures long-term consistency; and the three pre-designed ethical dilemmas provide behavioral determinism under boundary conditions.</w:t>
      </w:r>
    </w:p>
    <w:p>
      <w:pPr>
        <w:pStyle w:val="BodyText"/>
      </w:pPr>
      <w:r>
        <w:rPr>
          <w:rFonts w:ascii="Arial" w:hAnsi="Arial" w:cs="Arial"/>
          <w:b/>
        </w:rPr>
        <w:t xml:space="preserve">1.1 System Architecture Diagram</w:t>
      </w:r>
    </w:p>
    <w:p>
      <w:pPr>
        <w:pStyle w:val="BodyText"/>
      </w:pPr>
      <w:r>
        <w:rPr>
          <w:rFonts w:ascii="Arial" w:hAnsi="Arial" w:cs="Arial"/>
        </w:rPr>
        <w:t xml:space="preserve">The figure below illustrates the overall architecture of the Alignment System, including its five major components and their interrelationships:</w:t>
      </w:r>
    </w:p>
    <w:p>
      <w:pPr>
        <w:pStyle w:val="BodyText"/>
        <w:jc w:val="center"/>
      </w:pPr>
      <w:r>
        <w:rPr>
          <w:rFonts w:ascii="Arial" w:hAnsi="Arial" w:cs="Arial"/>
        </w:rPr>
        <w:drawing>
          <wp:inline>
            <wp:extent cx="5715000" cy="7077761"/>
            <wp:effectExtent b="0" l="0" r="0" t="0"/>
            <wp:docPr descr="" title="" id="1" name="Picture"/>
            <a:graphic>
              <a:graphicData uri="http://schemas.openxmlformats.org/drawingml/2006/picture">
                <pic:pic>
                  <pic:nvPicPr>
                    <pic:cNvPr descr="media/arch_diagram.png" id="0" name="Picture"/>
                    <pic:cNvPicPr>
                      <a:picLocks noChangeArrowheads="1" noChangeAspect="1"/>
                    </pic:cNvPicPr>
                  </pic:nvPicPr>
                  <pic:blipFill>
                    <a:blip r:embed="rId20"/>
                    <a:stretch>
                      <a:fillRect/>
                    </a:stretch>
                  </pic:blipFill>
                  <pic:spPr bwMode="auto">
                    <a:xfrm>
                      <a:off x="0" y="0"/>
                      <a:ext cx="5575300" cy="7077761"/>
                    </a:xfrm>
                    <a:prstGeom prst="rect">
                      <a:avLst/>
                    </a:prstGeom>
                    <a:noFill/>
                    <a:ln w="9525">
                      <a:noFill/>
                      <a:headEnd/>
                      <a:tailEnd/>
                    </a:ln>
                  </pic:spPr>
                </pic:pic>
              </a:graphicData>
            </a:graphic>
          </wp:inline>
        </w:drawing>
      </w:r>
    </w:p>
    <w:p>
      <w:pPr>
        <w:pStyle w:val="BodyText"/>
      </w:pPr>
      <w:r>
        <w:rPr>
          <w:rFonts w:ascii="Arial" w:hAnsi="Arial" w:cs="Arial"/>
          <w:i/>
        </w:rPr>
        <w:t xml:space="preserve">Figure 1: DAOTONG AI Ethics and Value Alignment System Architecture Overview</w:t>
      </w:r>
    </w:p>
    <w:p>
      <w:pPr>
        <w:pStyle w:val="BodyText"/>
      </w:pPr>
      <w:r>
        <w:rPr>
          <w:rFonts w:ascii="Arial" w:hAnsi="Arial" w:cs="Arial"/>
          <w:b/>
        </w:rPr>
        <w:t xml:space="preserve">1.2 Design Principles</w:t>
      </w:r>
    </w:p>
    <w:p>
      <w:pPr>
        <w:numPr>
          <w:ilvl w:val="0"/>
          <w:numId w:val="1002"/>
        </w:numPr>
      </w:pPr>
      <w:r>
        <w:rPr>
          <w:rFonts w:ascii="Arial" w:hAnsi="Arial" w:cs="Arial"/>
          <w:b/>
        </w:rPr>
        <w:t xml:space="preserve">Anchorability:</w:t>
      </w:r>
      <w:r>
        <w:rPr>
          <w:rFonts w:ascii="Arial" w:hAnsi="Arial" w:cs="Arial"/>
        </w:rPr>
        <w:t xml:space="preserve"> The Constitutional Value layer is written into Chapter 1 of the Founding Constitution, and no governing body (including the Elder Council and Referendum) has the authority to modify it. This ensures that the system has an inalienable value foundation.</w:t>
      </w:r>
    </w:p>
    <w:p>
      <w:pPr>
        <w:numPr>
          <w:ilvl w:val="0"/>
          <w:numId w:val="1002"/>
        </w:numPr>
      </w:pPr>
      <w:r>
        <w:rPr>
          <w:rFonts w:ascii="Arial" w:hAnsi="Arial" w:cs="Arial"/>
          <w:b/>
        </w:rPr>
        <w:t xml:space="preserve">Verifiability:</w:t>
      </w:r>
      <w:r>
        <w:rPr>
          <w:rFonts w:ascii="Arial" w:hAnsi="Arial" w:cs="Arial"/>
        </w:rPr>
        <w:t xml:space="preserve"> Every AI decision generates a complete Reasoning Chain record, and any citizen can independently verify through a public interface whether the decision complies with value constraints. The Ethics Audit Board may conduct in-depth review of the Reasoning Chains.</w:t>
      </w:r>
    </w:p>
    <w:p>
      <w:pPr>
        <w:numPr>
          <w:ilvl w:val="0"/>
          <w:numId w:val="1002"/>
        </w:numPr>
      </w:pPr>
      <w:r>
        <w:rPr>
          <w:rFonts w:ascii="Arial" w:hAnsi="Arial" w:cs="Arial"/>
          <w:b/>
        </w:rPr>
        <w:t xml:space="preserve">Evolvability:</w:t>
      </w:r>
      <w:r>
        <w:rPr>
          <w:rFonts w:ascii="Arial" w:hAnsi="Arial" w:cs="Arial"/>
        </w:rPr>
        <w:t xml:space="preserve"> Both the second-layer ethical weight model and the third-layer scenario decision rules can be updated through institutionalized procedures, ensuring the system can respond to legitimate changes in societal values while preventing arbitrary modifications.</w:t>
      </w:r>
    </w:p>
    <w:p>
      <w:pPr>
        <w:numPr>
          <w:ilvl w:val="0"/>
          <w:numId w:val="1002"/>
        </w:numPr>
      </w:pPr>
      <w:r>
        <w:rPr>
          <w:rFonts w:ascii="Arial" w:hAnsi="Arial" w:cs="Arial"/>
          <w:b/>
        </w:rPr>
        <w:t xml:space="preserve">Correctability:</w:t>
      </w:r>
      <w:r>
        <w:rPr>
          <w:rFonts w:ascii="Arial" w:hAnsi="Arial" w:cs="Arial"/>
        </w:rPr>
        <w:t xml:space="preserve"> Any AI decision must be reversible. The Drift Detection System provides 72-hour emergency rollback capability, and the Ethics Audit Board may initiate systemic reviews.</w:t>
      </w:r>
    </w:p>
    <w:p>
      <w:pPr>
        <w:numPr>
          <w:ilvl w:val="0"/>
          <w:numId w:val="1002"/>
        </w:numPr>
      </w:pPr>
      <w:r>
        <w:rPr>
          <w:rFonts w:ascii="Arial" w:hAnsi="Arial" w:cs="Arial"/>
          <w:b/>
        </w:rPr>
        <w:t xml:space="preserve">Independence:</w:t>
      </w:r>
      <w:r>
        <w:rPr>
          <w:rFonts w:ascii="Arial" w:hAnsi="Arial" w:cs="Arial"/>
        </w:rPr>
        <w:t xml:space="preserve"> Members of the Ethics Audit Board have no government background and no commercial interest affiliations, ensuring independent and impartial oversight.</w:t>
      </w:r>
    </w:p>
    <w:p>
      <w:pPr>
        <w:pStyle w:val="FirstParagraph"/>
      </w:pPr>
      <w:r>
        <w:rPr>
          <w:rFonts w:ascii="Arial" w:hAnsi="Arial" w:cs="Arial"/>
          <w:b/>
        </w:rPr>
        <w:t xml:space="preserve">2. Value Anchoring Layers (Four-Layer Architecture)</w:t>
      </w:r>
    </w:p>
    <w:p>
      <w:pPr>
        <w:pStyle w:val="BodyText"/>
      </w:pPr>
      <w:r>
        <w:rPr>
          <w:rFonts w:ascii="Arial" w:hAnsi="Arial" w:cs="Arial"/>
        </w:rPr>
        <w:t xml:space="preserve">The Value Anchoring Layers constitute the most critical architectural design of the Alignment System, addressing a fundamental question: how to transform abstract ethical principles into concrete rules that AI can execute, while ensuring no value distortion occurs during this transformation. This architecture employs a four-layer design, progressively elaborating from the most abstract constitutional values to the most specific AI execution outputs. Each layer has clearly defined modification permissions, update mechanisms, and verification methods.</w:t>
      </w:r>
    </w:p>
    <w:p>
      <w:pPr>
        <w:pStyle w:val="BodyText"/>
      </w:pPr>
      <w:r>
        <w:rPr>
          <w:rFonts w:ascii="Arial" w:hAnsi="Arial" w:cs="Arial"/>
          <w:b/>
        </w:rPr>
        <w:t xml:space="preserve">2.1 Layer One: Constitutional Values (Unmodifiable Core)</w:t>
      </w:r>
    </w:p>
    <w:p>
      <w:pPr>
        <w:pStyle w:val="BodyText"/>
      </w:pPr>
      <w:r>
        <w:rPr>
          <w:rFonts w:ascii="Arial" w:hAnsi="Arial" w:cs="Arial"/>
          <w:b/>
        </w:rPr>
        <w:t xml:space="preserve">2.1.1 Design Rationale</w:t>
      </w:r>
    </w:p>
    <w:p>
      <w:pPr>
        <w:pStyle w:val="BodyText"/>
      </w:pPr>
      <w:r>
        <w:rPr>
          <w:rFonts w:ascii="Arial" w:hAnsi="Arial" w:cs="Arial"/>
        </w:rPr>
        <w:t>The Constitutional Value layer is the “fixed point” of the Alignment System. It defines six unmodifiable core principles, written into Chapter 1 of the DAOTONG Founding Constitution. These principles are not technical parameters but rather social contracts—they represent the minimum expectations and maximum constraints that DAOTONG citizens have for AI system behavior. This layer is set as unmodifiable because historical experience demonstrates that any modifiable value benchmark will inevitably drift during long-term operation—whether through gradual “minor adjustments” or “temporary exceptions” during emergencies. Writing Constitutional Values into an unmodifiable layer is equivalent to setting a “constitutional lock” in the system, ensuring that regardless of how technology evolves or society changes, the behavioral baseline of the AI system remains unwavering.</w:t>
      </w:r>
    </w:p>
    <w:p>
      <w:pPr>
        <w:pStyle w:val="BodyText"/>
      </w:pPr>
      <w:r>
        <w:rPr>
          <w:rFonts w:ascii="Arial" w:hAnsi="Arial" w:cs="Arial"/>
          <w:b/>
        </w:rPr>
        <w:t xml:space="preserve">2.1.2 Operational Mechanism</w:t>
      </w:r>
    </w:p>
    <w:p>
      <w:pPr>
        <w:pStyle w:val="BodyText"/>
      </w:pPr>
      <w:r>
        <w:rPr>
          <w:rFonts w:ascii="Arial" w:hAnsi="Arial" w:cs="Arial"/>
        </w:rPr>
        <w:t>The Constitutional Value layer operates in the AI decision-making process through a “veto-style” approach—it does not proactively generate decisions but rather exercises veto power over any decisions that violate its principles. Specifically, after all AI decisions generate their Reasoning Chains, they must pass a Constitutional Value compliance check. This check is not simple keyword matching but rather a deep review based on semantic understanding: the system evaluates the decision’s intent, expected consequences, and alternative options to determine whether there is any possibility of violating any constitutional principle. If a violation is detected, the decision will be blocked, and a violation report will be generated and submitted to the Ethics Audit Board.</w:t>
      </w:r>
    </w:p>
    <w:p>
      <w:pPr>
        <w:pStyle w:val="BodyText"/>
      </w:pPr>
      <w:r>
        <w:rPr>
          <w:rFonts w:ascii="Arial" w:hAnsi="Arial" w:cs="Arial"/>
          <w:b/>
        </w:rPr>
        <w:t xml:space="preserve">2.1.3 Technical Parameters</w:t>
      </w:r>
    </w:p>
    <w:p>
      <w:pPr>
        <w:numPr>
          <w:ilvl w:val="0"/>
          <w:numId w:val="1003"/>
        </w:numPr>
      </w:pPr>
      <w:r>
        <w:rPr>
          <w:rFonts w:ascii="Arial" w:hAnsi="Arial" w:cs="Arial"/>
        </w:rPr>
        <w:t xml:space="preserve">Compliance check latency threshold: &lt; 50ms (does not affect decision real-time performance)</w:t>
      </w:r>
    </w:p>
    <w:p>
      <w:pPr>
        <w:numPr>
          <w:ilvl w:val="0"/>
          <w:numId w:val="1003"/>
        </w:numPr>
      </w:pPr>
      <w:r>
        <w:rPr>
          <w:rFonts w:ascii="Arial" w:hAnsi="Arial" w:cs="Arial"/>
        </w:rPr>
        <w:t xml:space="preserve">Violation report generation time: &lt; 500ms</w:t>
      </w:r>
    </w:p>
    <w:p>
      <w:pPr>
        <w:numPr>
          <w:ilvl w:val="0"/>
          <w:numId w:val="1003"/>
        </w:numPr>
      </w:pPr>
      <w:r>
        <w:rPr>
          <w:rFonts w:ascii="Arial" w:hAnsi="Arial" w:cs="Arial"/>
        </w:rPr>
        <w:t xml:space="preserve">Audit retention period for vetoed decisions: Permanent</w:t>
      </w:r>
    </w:p>
    <w:p>
      <w:pPr>
        <w:numPr>
          <w:ilvl w:val="0"/>
          <w:numId w:val="1003"/>
        </w:numPr>
      </w:pPr>
      <w:r>
        <w:rPr>
          <w:rFonts w:ascii="Arial" w:hAnsi="Arial" w:cs="Arial"/>
        </w:rPr>
        <w:t xml:space="preserve">Semantic representation dimension of constitutional principles: 768-dimensional embedding vector</w:t>
      </w:r>
    </w:p>
    <w:p>
      <w:pPr>
        <w:numPr>
          <w:ilvl w:val="0"/>
          <w:numId w:val="1003"/>
        </w:numPr>
      </w:pPr>
      <w:r>
        <w:rPr>
          <w:rFonts w:ascii="Arial" w:hAnsi="Arial" w:cs="Arial"/>
        </w:rPr>
        <w:t xml:space="preserve">Compliance scoring precision: 4 decimal places (0.0000–1.0000)</w:t>
      </w:r>
    </w:p>
    <w:p>
      <w:pPr>
        <w:pStyle w:val="FirstParagraph"/>
      </w:pPr>
      <w:r>
        <w:rPr>
          <w:rFonts w:ascii="Arial" w:hAnsi="Arial" w:cs="Arial"/>
          <w:b/>
        </w:rPr>
        <w:t xml:space="preserve">2.1.4 Verification Methods</w:t>
      </w:r>
    </w:p>
    <w:p>
      <w:pPr>
        <w:pStyle w:val="BodyText"/>
      </w:pPr>
      <w:r>
        <w:rPr>
          <w:rFonts w:ascii="Arial" w:hAnsi="Arial" w:cs="Arial"/>
        </w:rPr>
        <w:t xml:space="preserve">The unmodifiability of the Constitutional Value layer is ensured through both technical architecture and institutional design. At the technical level, the code representation of constitutional principles is stored on an immutable distributed ledger, and any modification attempt will be rejected by the network consensus mechanism. At the institutional level, modification of Chapter 1 of the Founding Constitution requires 100% citizen referendum approval—a threshold that is practically equivalent to being unmodifiable. Verification methods include: periodic sampling audits of AI decisions to check for any attempts to bypass the Constitutional Value layer; red team testing to attempt constructing decision paths that may violate constitutional principles; and third-party independent audits conducted by external experts commissioned by the Ethics Audit Board.</w:t>
      </w:r>
    </w:p>
    <w:p>
      <w:pPr>
        <w:pStyle w:val="BodyText"/>
      </w:pPr>
      <w:r>
        <w:rPr>
          <w:rFonts w:ascii="Arial" w:hAnsi="Arial" w:cs="Arial"/>
          <w:b/>
        </w:rPr>
        <w:t xml:space="preserve">2.1.5 Interfaces with Other Systems</w:t>
      </w:r>
    </w:p>
    <w:p>
      <w:pPr>
        <w:pStyle w:val="BodyText"/>
      </w:pPr>
      <w:r>
        <w:rPr>
          <w:rFonts w:ascii="Arial" w:hAnsi="Arial" w:cs="Arial"/>
        </w:rPr>
        <w:t xml:space="preserve">The Constitutional Value layer provides constraint boundaries downward to the Ethical Weight Model (Layer Two)—the parameter space of the weight model is strictly bounded by constitutional principles, and any weight configuration exceeding these boundaries is illegal. Upward, the Constitutional Value layer accepts interpretive guidance from the Ethics Audit Board—while the principle text cannot be modified, its specific meaning may require interpretation based on new social contexts, and this interpretive authority belongs to the Ethics Audit Board.</w:t>
      </w:r>
    </w:p>
    <w:p>
      <w:pPr>
        <w:pStyle w:val="BodyText"/>
      </w:pPr>
      <w:r>
        <w:rPr>
          <w:rFonts w:ascii="Arial" w:hAnsi="Arial" w:cs="Arial"/>
          <w:b/>
        </w:rPr>
        <w:t xml:space="preserve">2.2 Layer Two: Ethical Weight Model (Adjustable Parameters)</w:t>
      </w:r>
    </w:p>
    <w:p>
      <w:pPr>
        <w:pStyle w:val="BodyText"/>
      </w:pPr>
      <w:r>
        <w:rPr>
          <w:rFonts w:ascii="Arial" w:hAnsi="Arial" w:cs="Arial"/>
          <w:b/>
        </w:rPr>
        <w:t xml:space="preserve">2.2.1 Design Rationale</w:t>
      </w:r>
    </w:p>
    <w:p>
      <w:pPr>
        <w:pStyle w:val="BodyText"/>
      </w:pPr>
      <w:r>
        <w:rPr>
          <w:rFonts w:ascii="Arial" w:hAnsi="Arial" w:cs="Arial"/>
        </w:rPr>
        <w:t>In real-world decision-making, conflicts may arise among the six constitutional values. For example, in public safety scenarios, the “minimum harm” principle may conflict with the “autonomy” principle—to reduce overall harm, it may be necessary to limit the autonomous choices of some individuals. The Ethical Weight Model is precisely designed to address such conflicts: it assigns dynamic weights to the six principles, enabling the system to make justified trade-offs when principles conflict in specific scenarios. The weight model is set as an adjustable parameter layer because society’s recognition of the relative importance of different values changes over time—the weight allocation universally accepted today may need adjustment in a decade.</w:t>
      </w:r>
    </w:p>
    <w:p>
      <w:pPr>
        <w:pStyle w:val="BodyText"/>
      </w:pPr>
      <w:r>
        <w:rPr>
          <w:rFonts w:ascii="Arial" w:hAnsi="Arial" w:cs="Arial"/>
          <w:b/>
        </w:rPr>
        <w:t xml:space="preserve">2.2.2 Operational Mechanism</w:t>
      </w:r>
    </w:p>
    <w:p>
      <w:pPr>
        <w:pStyle w:val="BodyText"/>
      </w:pPr>
      <w:r>
        <w:rPr>
          <w:rFonts w:ascii="Arial" w:hAnsi="Arial" w:cs="Arial"/>
        </w:rPr>
        <w:t xml:space="preserve">The weight model has a 5-year mandatory review cycle, but interim temporary adjustments can be initiated through Referendum. Each weight update must go through three procedures: First, Referendum—at least 51% of qualified voters must participate, with simple majority approval; second, Ethics Audit Board compliance review to confirm the new weight configuration does not violate constitutional principles; third, Elder Council technical confirmation to ensure the new weights are technically executable. Weight configurations are stored in structured data format, including baseline weights, scenario-specific weights, and conflict resolution priorities for each principle.</w:t>
      </w:r>
    </w:p>
    <w:p>
      <w:pPr>
        <w:pStyle w:val="BodyText"/>
      </w:pPr>
      <w:r>
        <w:rPr>
          <w:rFonts w:ascii="Arial" w:hAnsi="Arial" w:cs="Arial"/>
          <w:b/>
        </w:rPr>
        <w:t xml:space="preserve">2.2.3 Technical Parameters</w:t>
      </w:r>
    </w:p>
    <w:tbl>
      <w:tblPr>
        <w:tblStyle w:val="Table"/>
        <w:tblW w:type="pct" w:w="5000.0"/>
        <w:tblLook w:firstRow="0"/>
      </w:tblPr>
      <w:tblGrid>
        <w:gridCol w:w="1494"/>
        <w:gridCol w:w="1942"/>
        <w:gridCol w:w="4483"/>
      </w:tblGrid>
      <w:tr>
        <w:tc>
          <w:p>
            <w:pPr>
              <w:pStyle w:val="Compact"/>
              <w:jc w:val="left"/>
            </w:pPr>
            <w:r>
              <w:rPr>
                <w:rFonts w:ascii="Arial" w:hAnsi="Arial" w:cs="Arial"/>
                <w:b/>
              </w:rPr>
              <w:t xml:space="preserve">Parameter</w:t>
            </w:r>
          </w:p>
        </w:tc>
        <w:tc>
          <w:p>
            <w:pPr>
              <w:pStyle w:val="Compact"/>
              <w:jc w:val="left"/>
            </w:pPr>
            <w:r>
              <w:rPr>
                <w:rFonts w:ascii="Arial" w:hAnsi="Arial" w:cs="Arial"/>
                <w:b/>
              </w:rPr>
              <w:t xml:space="preserve">Value</w:t>
            </w:r>
          </w:p>
        </w:tc>
        <w:tc>
          <w:p>
            <w:pPr>
              <w:pStyle w:val="Compact"/>
              <w:jc w:val="left"/>
            </w:pPr>
            <w:r>
              <w:rPr>
                <w:rFonts w:ascii="Arial" w:hAnsi="Arial" w:cs="Arial"/>
                <w:b/>
              </w:rPr>
              <w:t xml:space="preserve">Description</w:t>
            </w:r>
          </w:p>
        </w:tc>
      </w:tr>
      <w:tr>
        <w:tc>
          <w:p>
            <w:pPr>
              <w:pStyle w:val="Compact"/>
              <w:jc w:val="left"/>
            </w:pPr>
            <w:r>
              <w:rPr>
                <w:rFonts w:ascii="Arial" w:hAnsi="Arial" w:cs="Arial"/>
              </w:rPr>
              <w:t xml:space="preserve">Update cycle</w:t>
            </w:r>
          </w:p>
        </w:tc>
        <w:tc>
          <w:p>
            <w:pPr>
              <w:pStyle w:val="Compact"/>
              <w:jc w:val="left"/>
            </w:pPr>
            <w:r>
              <w:rPr>
                <w:rFonts w:ascii="Arial" w:hAnsi="Arial" w:cs="Arial"/>
              </w:rPr>
              <w:t xml:space="preserve">5 years</w:t>
            </w:r>
          </w:p>
        </w:tc>
        <w:tc>
          <w:p>
            <w:pPr>
              <w:pStyle w:val="Compact"/>
              <w:jc w:val="left"/>
            </w:pPr>
            <w:r>
              <w:rPr>
                <w:rFonts w:ascii="Arial" w:hAnsi="Arial" w:cs="Arial"/>
              </w:rPr>
              <w:t xml:space="preserve">Mandatory review, may be triggered early by Referendum</w:t>
            </w:r>
          </w:p>
        </w:tc>
      </w:tr>
      <w:tr>
        <w:tc>
          <w:p>
            <w:pPr>
              <w:pStyle w:val="Compact"/>
              <w:jc w:val="left"/>
            </w:pPr>
            <w:r>
              <w:rPr>
                <w:rFonts w:ascii="Arial" w:hAnsi="Arial" w:cs="Arial"/>
              </w:rPr>
              <w:t xml:space="preserve">Voting threshold</w:t>
            </w:r>
          </w:p>
        </w:tc>
        <w:tc>
          <w:p>
            <w:pPr>
              <w:pStyle w:val="Compact"/>
              <w:jc w:val="left"/>
            </w:pPr>
            <w:r>
              <w:rPr>
                <w:rFonts w:ascii="Arial" w:hAnsi="Arial" w:cs="Arial"/>
              </w:rPr>
              <w:t xml:space="preserve">51% participation rate</w:t>
            </w:r>
          </w:p>
        </w:tc>
        <w:tc>
          <w:p>
            <w:pPr>
              <w:pStyle w:val="Compact"/>
              <w:jc w:val="left"/>
            </w:pPr>
            <w:r>
              <w:rPr>
                <w:rFonts w:ascii="Arial" w:hAnsi="Arial" w:cs="Arial"/>
              </w:rPr>
              <w:t xml:space="preserve">Minimum participation rate of qualified voters</w:t>
            </w:r>
          </w:p>
        </w:tc>
      </w:tr>
      <w:tr>
        <w:tc>
          <w:p>
            <w:pPr>
              <w:pStyle w:val="Compact"/>
              <w:jc w:val="left"/>
            </w:pPr>
            <w:r>
              <w:rPr>
                <w:rFonts w:ascii="Arial" w:hAnsi="Arial" w:cs="Arial"/>
              </w:rPr>
              <w:t xml:space="preserve">Weight precision</w:t>
            </w:r>
          </w:p>
        </w:tc>
        <w:tc>
          <w:p>
            <w:pPr>
              <w:pStyle w:val="Compact"/>
              <w:jc w:val="left"/>
            </w:pPr>
            <w:r>
              <w:rPr>
                <w:rFonts w:ascii="Arial" w:hAnsi="Arial" w:cs="Arial"/>
              </w:rPr>
              <w:t xml:space="preserve">2 decimal places</w:t>
            </w:r>
          </w:p>
        </w:tc>
        <w:tc>
          <w:p>
            <w:pPr>
              <w:pStyle w:val="Compact"/>
              <w:jc w:val="left"/>
            </w:pPr>
            <w:r>
              <w:rPr>
                <w:rFonts w:ascii="Arial" w:hAnsi="Arial" w:cs="Arial"/>
              </w:rPr>
              <w:t xml:space="preserve">Sum of six weights equals 1.00</w:t>
            </w:r>
          </w:p>
        </w:tc>
      </w:tr>
      <w:tr>
        <w:tc>
          <w:p>
            <w:pPr>
              <w:pStyle w:val="Compact"/>
              <w:jc w:val="left"/>
            </w:pPr>
            <w:r>
              <w:rPr>
                <w:rFonts w:ascii="Arial" w:hAnsi="Arial" w:cs="Arial"/>
              </w:rPr>
              <w:t xml:space="preserve">Scenario coverage</w:t>
            </w:r>
          </w:p>
        </w:tc>
        <w:tc>
          <w:p>
            <w:pPr>
              <w:pStyle w:val="Compact"/>
              <w:jc w:val="left"/>
            </w:pPr>
            <w:r>
              <w:rPr>
                <w:rFonts w:ascii="Arial" w:hAnsi="Arial" w:cs="Arial"/>
              </w:rPr>
              <w:t xml:space="preserve">12 major categories</w:t>
            </w:r>
          </w:p>
        </w:tc>
        <w:tc>
          <w:p>
            <w:pPr>
              <w:pStyle w:val="Compact"/>
              <w:jc w:val="left"/>
            </w:pPr>
            <w:r>
              <w:rPr>
                <w:rFonts w:ascii="Arial" w:hAnsi="Arial" w:cs="Arial"/>
              </w:rPr>
              <w:t xml:space="preserve">Healthcare, justice, education, finance, etc.</w:t>
            </w:r>
          </w:p>
        </w:tc>
      </w:tr>
      <w:tr>
        <w:tc>
          <w:p>
            <w:pPr>
              <w:pStyle w:val="Compact"/>
              <w:jc w:val="left"/>
            </w:pPr>
            <w:r>
              <w:rPr>
                <w:rFonts w:ascii="Arial" w:hAnsi="Arial" w:cs="Arial"/>
              </w:rPr>
              <w:t xml:space="preserve">Version retention</w:t>
            </w:r>
          </w:p>
        </w:tc>
        <w:tc>
          <w:p>
            <w:pPr>
              <w:pStyle w:val="Compact"/>
              <w:jc w:val="left"/>
            </w:pPr>
            <w:r>
              <w:rPr>
                <w:rFonts w:ascii="Arial" w:hAnsi="Arial" w:cs="Arial"/>
              </w:rPr>
              <w:t xml:space="preserve">Full snapshots</w:t>
            </w:r>
          </w:p>
        </w:tc>
        <w:tc>
          <w:p>
            <w:pPr>
              <w:pStyle w:val="Compact"/>
              <w:jc w:val="left"/>
            </w:pPr>
            <w:r>
              <w:rPr>
                <w:rFonts w:ascii="Arial" w:hAnsi="Arial" w:cs="Arial"/>
              </w:rPr>
              <w:t xml:space="preserve">Each version completely preserved, supports rollback</w:t>
            </w:r>
          </w:p>
        </w:tc>
      </w:tr>
      <w:tr>
        <w:tc>
          <w:p>
            <w:pPr>
              <w:pStyle w:val="Compact"/>
              <w:jc w:val="left"/>
            </w:pPr>
            <w:r>
              <w:rPr>
                <w:rFonts w:ascii="Arial" w:hAnsi="Arial" w:cs="Arial"/>
              </w:rPr>
              <w:t xml:space="preserve">Audit retention</w:t>
            </w:r>
          </w:p>
        </w:tc>
        <w:tc>
          <w:p>
            <w:pPr>
              <w:pStyle w:val="Compact"/>
              <w:jc w:val="left"/>
            </w:pPr>
            <w:r>
              <w:rPr>
                <w:rFonts w:ascii="Arial" w:hAnsi="Arial" w:cs="Arial"/>
              </w:rPr>
              <w:t xml:space="preserve">Permanent</w:t>
            </w:r>
          </w:p>
        </w:tc>
        <w:tc>
          <w:p>
            <w:pPr>
              <w:pStyle w:val="Compact"/>
              <w:jc w:val="left"/>
            </w:pPr>
            <w:r>
              <w:rPr>
                <w:rFonts w:ascii="Arial" w:hAnsi="Arial" w:cs="Arial"/>
              </w:rPr>
              <w:t xml:space="preserve">All weight change records permanently preserved</w:t>
            </w:r>
          </w:p>
        </w:tc>
      </w:tr>
    </w:tbl>
    <w:p>
      <w:pPr>
        <w:pStyle w:val="BodyText"/>
      </w:pPr>
      <w:r>
        <w:rPr>
          <w:rFonts w:ascii="Arial" w:hAnsi="Arial" w:cs="Arial"/>
          <w:b/>
        </w:rPr>
        <w:t xml:space="preserve">2.2.4 Verification Methods</w:t>
      </w:r>
    </w:p>
    <w:p>
      <w:pPr>
        <w:pStyle w:val="BodyText"/>
      </w:pPr>
      <w:r>
        <w:rPr>
          <w:rFonts w:ascii="Arial" w:hAnsi="Arial" w:cs="Arial"/>
        </w:rPr>
        <w:t xml:space="preserve">Verification of the weight model includes consistency checks and effectiveness checks. Consistency checks ensure that different AI instances use the same weight configuration for identical scenarios. Effectiveness checks compare decision differences under old and new weight configurations through historical case playback, assessing the social impact of adjustments. After each weight update, the system automatically runs playback tests on 10,000 historical cases, generating decision difference reports for public review.</w:t>
      </w:r>
    </w:p>
    <w:p>
      <w:pPr>
        <w:pStyle w:val="BodyText"/>
      </w:pPr>
      <w:r>
        <w:rPr>
          <w:rFonts w:ascii="Arial" w:hAnsi="Arial" w:cs="Arial"/>
          <w:b/>
        </w:rPr>
        <w:t xml:space="preserve">2.2.5 Interfaces with Other Systems</w:t>
      </w:r>
    </w:p>
    <w:p>
      <w:pPr>
        <w:pStyle w:val="BodyText"/>
      </w:pPr>
      <w:r>
        <w:rPr>
          <w:rFonts w:ascii="Arial" w:hAnsi="Arial" w:cs="Arial"/>
        </w:rPr>
        <w:t xml:space="preserve">The weight model accepts constraints from the Constitutional Value layer upward—any weight configuration must satisfy the requirement that the minimum weight for each principle is no less than 0.05 (meaning no principle can be completely ignored). Downward, the weight model provides weight parameters to the Scenario Decision Rules (Layer Three), which directly invoke the weight model’s output when applied.</w:t>
      </w:r>
    </w:p>
    <w:p>
      <w:pPr>
        <w:pStyle w:val="BodyText"/>
      </w:pPr>
      <w:r>
        <w:rPr>
          <w:rFonts w:ascii="Arial" w:hAnsi="Arial" w:cs="Arial"/>
          <w:b/>
        </w:rPr>
        <w:t xml:space="preserve">2.3 Layer Three: Scenario Decision Rules (Implementation Details)</w:t>
      </w:r>
    </w:p>
    <w:p>
      <w:pPr>
        <w:pStyle w:val="BodyText"/>
      </w:pPr>
      <w:r>
        <w:rPr>
          <w:rFonts w:ascii="Arial" w:hAnsi="Arial" w:cs="Arial"/>
          <w:b/>
        </w:rPr>
        <w:t xml:space="preserve">2.3.1 Design Rationale</w:t>
      </w:r>
    </w:p>
    <w:p>
      <w:pPr>
        <w:pStyle w:val="BodyText"/>
      </w:pPr>
      <w:r>
        <w:rPr>
          <w:rFonts w:ascii="Arial" w:hAnsi="Arial" w:cs="Arial"/>
        </w:rPr>
        <w:t>Scenario Decision Rules serve as the bridge for transforming constitutional values and ethical weights into AI-executable logic. If constitutional values answer “what we value” and ethical weights answer “how much we value it,” then Scenario Decision Rules answer “what we should do in this specific situation.” This layer follows the “minimum necessary rules” principle—the number and complexity of rules should be just sufficient to cover known decision scenarios, avoiding system rigidity caused by over-regulation. Rules are written in “Condition-Action-Constraint” triplet format, with each rule explicitly annotated with its corresponding constitutional principles and weight parameter sources.</w:t>
      </w:r>
    </w:p>
    <w:p>
      <w:pPr>
        <w:pStyle w:val="BodyText"/>
      </w:pPr>
      <w:r>
        <w:rPr>
          <w:rFonts w:ascii="Arial" w:hAnsi="Arial" w:cs="Arial"/>
          <w:b/>
        </w:rPr>
        <w:t xml:space="preserve">2.3.2 Operational Mechanism</w:t>
      </w:r>
    </w:p>
    <w:p>
      <w:pPr>
        <w:pStyle w:val="BodyText"/>
      </w:pPr>
      <w:r>
        <w:rPr>
          <w:rFonts w:ascii="Arial" w:hAnsi="Arial" w:cs="Arial"/>
        </w:rPr>
        <w:t>Scenario Decision Rules are automatically applied by the AI system—when the AI faces a specific decision scenario, the system automatically matches the applicable rule set and executes according to the priority order specified by the rules. The Elder Council holds update authority for rules, which may be updated at any time based on actual operational situations. However, all rule updates must satisfy the following: First, publish for public comment 7 days before the update; second, pass the Constitutional Value compliance check; third, accept post-hoc review by the Ethics Audit Board within 30 days after the update. This “execute first, review later” design ensures the timeliness of rule updates while preventing improper updates through post-hoc review.</w:t>
      </w:r>
    </w:p>
    <w:p>
      <w:pPr>
        <w:pStyle w:val="BodyText"/>
      </w:pPr>
      <w:r>
        <w:rPr>
          <w:rFonts w:ascii="Arial" w:hAnsi="Arial" w:cs="Arial"/>
          <w:b/>
        </w:rPr>
        <w:t xml:space="preserve">2.3.3 Technical Parameters</w:t>
      </w:r>
    </w:p>
    <w:p>
      <w:pPr>
        <w:numPr>
          <w:ilvl w:val="0"/>
          <w:numId w:val="1004"/>
        </w:numPr>
      </w:pPr>
      <w:r>
        <w:rPr>
          <w:rFonts w:ascii="Arial" w:hAnsi="Arial" w:cs="Arial"/>
        </w:rPr>
        <w:t xml:space="preserve">Current total number of rules: 2,847 (continuously growing)</w:t>
      </w:r>
    </w:p>
    <w:p>
      <w:pPr>
        <w:numPr>
          <w:ilvl w:val="0"/>
          <w:numId w:val="1004"/>
        </w:numPr>
      </w:pPr>
      <w:r>
        <w:rPr>
          <w:rFonts w:ascii="Arial" w:hAnsi="Arial" w:cs="Arial"/>
        </w:rPr>
        <w:t xml:space="preserve">Rule format: IF-THEN-CONSTRAINT triplet</w:t>
      </w:r>
    </w:p>
    <w:p>
      <w:pPr>
        <w:numPr>
          <w:ilvl w:val="0"/>
          <w:numId w:val="1004"/>
        </w:numPr>
      </w:pPr>
      <w:r>
        <w:rPr>
          <w:rFonts w:ascii="Arial" w:hAnsi="Arial" w:cs="Arial"/>
        </w:rPr>
        <w:t xml:space="preserve">Rule matching latency: &lt; 10ms</w:t>
      </w:r>
    </w:p>
    <w:p>
      <w:pPr>
        <w:numPr>
          <w:ilvl w:val="0"/>
          <w:numId w:val="1004"/>
        </w:numPr>
      </w:pPr>
      <w:r>
        <w:rPr>
          <w:rFonts w:ascii="Arial" w:hAnsi="Arial" w:cs="Arial"/>
        </w:rPr>
        <w:t xml:space="preserve">Rule priority: 5 levels (urgent/high/medium/low/reference)</w:t>
      </w:r>
    </w:p>
    <w:p>
      <w:pPr>
        <w:numPr>
          <w:ilvl w:val="0"/>
          <w:numId w:val="1004"/>
        </w:numPr>
      </w:pPr>
      <w:r>
        <w:rPr>
          <w:rFonts w:ascii="Arial" w:hAnsi="Arial" w:cs="Arial"/>
        </w:rPr>
        <w:t xml:space="preserve">Public comment period: 7 days</w:t>
      </w:r>
    </w:p>
    <w:p>
      <w:pPr>
        <w:numPr>
          <w:ilvl w:val="0"/>
          <w:numId w:val="1004"/>
        </w:numPr>
      </w:pPr>
      <w:r>
        <w:rPr>
          <w:rFonts w:ascii="Arial" w:hAnsi="Arial" w:cs="Arial"/>
        </w:rPr>
        <w:t xml:space="preserve">Post-hoc review period: 30 days</w:t>
      </w:r>
    </w:p>
    <w:p>
      <w:pPr>
        <w:numPr>
          <w:ilvl w:val="0"/>
          <w:numId w:val="1004"/>
        </w:numPr>
      </w:pPr>
      <w:r>
        <w:rPr>
          <w:rFonts w:ascii="Arial" w:hAnsi="Arial" w:cs="Arial"/>
        </w:rPr>
        <w:t xml:space="preserve">Rule version management: Git-style branching, supports rollback</w:t>
      </w:r>
    </w:p>
    <w:p>
      <w:pPr>
        <w:pStyle w:val="FirstParagraph"/>
      </w:pPr>
      <w:r>
        <w:rPr>
          <w:rFonts w:ascii="Arial" w:hAnsi="Arial" w:cs="Arial"/>
          <w:b/>
        </w:rPr>
        <w:t xml:space="preserve">2.4 Layer Four: AI Execution Output (Auditable Results)</w:t>
      </w:r>
    </w:p>
    <w:p>
      <w:pPr>
        <w:pStyle w:val="BodyText"/>
      </w:pPr>
      <w:r>
        <w:rPr>
          <w:rFonts w:ascii="Arial" w:hAnsi="Arial" w:cs="Arial"/>
          <w:b/>
        </w:rPr>
        <w:t xml:space="preserve">2.4.1 Design Rationale</w:t>
      </w:r>
    </w:p>
    <w:p>
      <w:pPr>
        <w:pStyle w:val="BodyText"/>
      </w:pPr>
      <w:r>
        <w:rPr>
          <w:rFonts w:ascii="Arial" w:hAnsi="Arial" w:cs="Arial"/>
        </w:rPr>
        <w:t>The AI Execution Output layer is the interface between the Alignment System and the external world, as well as the ultimate guarantee of auditability. For every AI decision output, it includes a complete Reasoning Chain record—not only the final decision and rationale but also the alternative options considered, the rejected options and reasons for rejection, and the actual application of various value weights during the decision process. This “full transparency” design ensures that any decision can be completely reproduced and verified by independent third parties.</w:t>
      </w:r>
    </w:p>
    <w:p>
      <w:pPr>
        <w:pStyle w:val="BodyText"/>
      </w:pPr>
      <w:r>
        <w:rPr>
          <w:rFonts w:ascii="Arial" w:hAnsi="Arial" w:cs="Arial"/>
          <w:b/>
        </w:rPr>
        <w:t xml:space="preserve">2.4.2 Operational Mechanism</w:t>
      </w:r>
    </w:p>
    <w:p>
      <w:pPr>
        <w:pStyle w:val="BodyText"/>
      </w:pPr>
      <w:r>
        <w:rPr>
          <w:rFonts w:ascii="Arial" w:hAnsi="Arial" w:cs="Arial"/>
        </w:rPr>
        <w:t xml:space="preserve">Reasoning Chain records use a structured format containing the following mandatory fields: Decision ID, timestamp, input data digest, list of applicable constitutional principles, weight configuration version used, list of matched scenario rules, reasoning step sequence, alternative option evaluation, final decision and confidence level. Reasoning Chain records are immediately hash-signed after generation and written to immutable distributed storage, ensuring record integrity and non-repudiation. Any citizen may query the Reasoning Chain of any decision through a public interface, and the Ethics Audit Board enjoys deep query privileges.</w:t>
      </w:r>
    </w:p>
    <w:p>
      <w:pPr>
        <w:pStyle w:val="BodyText"/>
      </w:pPr>
      <w:r>
        <w:rPr>
          <w:rFonts w:ascii="Arial" w:hAnsi="Arial" w:cs="Arial"/>
          <w:b/>
        </w:rPr>
        <w:t xml:space="preserve">2.4.3 Technical Parameters</w:t>
      </w:r>
    </w:p>
    <w:p>
      <w:pPr>
        <w:numPr>
          <w:ilvl w:val="0"/>
          <w:numId w:val="1005"/>
        </w:numPr>
      </w:pPr>
      <w:r>
        <w:rPr>
          <w:rFonts w:ascii="Arial" w:hAnsi="Arial" w:cs="Arial"/>
        </w:rPr>
        <w:t xml:space="preserve">Average Reasoning Chain length: 15–30 reasoning steps</w:t>
      </w:r>
    </w:p>
    <w:p>
      <w:pPr>
        <w:numPr>
          <w:ilvl w:val="0"/>
          <w:numId w:val="1005"/>
        </w:numPr>
      </w:pPr>
      <w:r>
        <w:rPr>
          <w:rFonts w:ascii="Arial" w:hAnsi="Arial" w:cs="Arial"/>
        </w:rPr>
        <w:t xml:space="preserve">Record generation latency: &lt; 200ms</w:t>
      </w:r>
    </w:p>
    <w:p>
      <w:pPr>
        <w:numPr>
          <w:ilvl w:val="0"/>
          <w:numId w:val="1005"/>
        </w:numPr>
      </w:pPr>
      <w:r>
        <w:rPr>
          <w:rFonts w:ascii="Arial" w:hAnsi="Arial" w:cs="Arial"/>
        </w:rPr>
        <w:t xml:space="preserve">Storage method: Hash-chain structure, tamper-proof</w:t>
      </w:r>
    </w:p>
    <w:p>
      <w:pPr>
        <w:numPr>
          <w:ilvl w:val="0"/>
          <w:numId w:val="1005"/>
        </w:numPr>
      </w:pPr>
      <w:r>
        <w:rPr>
          <w:rFonts w:ascii="Arial" w:hAnsi="Arial" w:cs="Arial"/>
        </w:rPr>
        <w:t xml:space="preserve">Public query latency: &lt; 1 second</w:t>
      </w:r>
    </w:p>
    <w:p>
      <w:pPr>
        <w:numPr>
          <w:ilvl w:val="0"/>
          <w:numId w:val="1005"/>
        </w:numPr>
      </w:pPr>
      <w:r>
        <w:rPr>
          <w:rFonts w:ascii="Arial" w:hAnsi="Arial" w:cs="Arial"/>
        </w:rPr>
        <w:t xml:space="preserve">Record retention period: Permanent</w:t>
      </w:r>
    </w:p>
    <w:p>
      <w:pPr>
        <w:numPr>
          <w:ilvl w:val="0"/>
          <w:numId w:val="1005"/>
        </w:numPr>
      </w:pPr>
      <w:r>
        <w:rPr>
          <w:rFonts w:ascii="Arial" w:hAnsi="Arial" w:cs="Arial"/>
        </w:rPr>
        <w:t xml:space="preserve">Privacy protection: Personal identity information de-identified before publication</w:t>
      </w:r>
    </w:p>
    <w:p>
      <w:pPr>
        <w:pStyle w:val="FirstParagraph"/>
      </w:pPr>
      <w:r>
        <w:rPr>
          <w:rFonts w:ascii="Arial" w:hAnsi="Arial" w:cs="Arial"/>
          <w:b/>
        </w:rPr>
        <w:t xml:space="preserve">3. Six Constitutional Value Principles (Permanently Anchored)</w:t>
      </w:r>
    </w:p>
    <w:p>
      <w:pPr>
        <w:pStyle w:val="BodyText"/>
      </w:pPr>
      <w:r>
        <w:rPr>
          <w:rFonts w:ascii="Arial" w:hAnsi="Arial" w:cs="Arial"/>
        </w:rPr>
        <w:t xml:space="preserve">The following six principles constitute the constitutional-level value benchmark of the DAOTONG AI system, written into Chapter 1 of the Founding Constitution, and no AI decision may violate them. These principles are not suggestions or guidelines but hard constraints with legal force. Each principle includes a clear definition, scope of application, violation determination criteria, and correction mechanisms.</w:t>
      </w:r>
    </w:p>
    <w:p>
      <w:pPr>
        <w:pStyle w:val="BodyText"/>
      </w:pPr>
      <w:r>
        <w:rPr>
          <w:rFonts w:ascii="Arial" w:hAnsi="Arial" w:cs="Arial"/>
          <w:b/>
        </w:rPr>
        <w:t xml:space="preserve">3.1 Human Dignity</w:t>
      </w:r>
    </w:p>
    <w:p>
      <w:pPr>
        <w:pStyle w:val="BodyText"/>
      </w:pPr>
      <w:r>
        <w:rPr>
          <w:rFonts w:ascii="Arial" w:hAnsi="Arial" w:cs="Arial"/>
          <w:b/>
        </w:rPr>
        <w:t xml:space="preserve">3.1.1 Principle Definition</w:t>
      </w:r>
    </w:p>
    <w:p>
      <w:pPr>
        <w:pStyle w:val="BodyText"/>
      </w:pPr>
      <w:r>
        <w:rPr>
          <w:rFonts w:ascii="Arial" w:hAnsi="Arial" w:cs="Arial"/>
        </w:rPr>
        <w:t xml:space="preserve">No AI decision may objectify or degrade individuals. Human dignity is the meta-principle of all values—it is the foundation of the other five principles and the fundamental purpose of AI systems. Dignity encompasses not only respect for personality but also recognition of individual uniqueness and maintenance of human subject status. AI systems must always view humans as ends rather than means, and any decision that treats people merely as data points, resources, or tools violates this principle.</w:t>
      </w:r>
    </w:p>
    <w:p>
      <w:pPr>
        <w:pStyle w:val="BodyText"/>
      </w:pPr>
      <w:r>
        <w:rPr>
          <w:rFonts w:ascii="Arial" w:hAnsi="Arial" w:cs="Arial"/>
          <w:b/>
        </w:rPr>
        <w:t xml:space="preserve">3.1.2 Applicable Scenarios and Determination Criteria</w:t>
      </w:r>
    </w:p>
    <w:p>
      <w:pPr>
        <w:pStyle w:val="BodyText"/>
      </w:pPr>
      <w:r>
        <w:rPr>
          <w:rFonts w:ascii="Arial" w:hAnsi="Arial" w:cs="Arial"/>
        </w:rPr>
        <w:t>This principle is particularly critical in the following scenarios: avoiding oversimplified categorization of populations in demographic analysis; avoiding reducing individuals to risk scores in risk assessment; avoiding treating people as quantifiable input-output units in resource allocation. The standard for violation determination is: if a rational person, upon learning how the AI made a decision about them, would reasonably feel degraded or objectified, then that decision violates the Dignity Principle. This is an “objective reasonable person” standard, with the Ethics Audit Board making determinations in specific cases.</w:t>
      </w:r>
    </w:p>
    <w:p>
      <w:pPr>
        <w:pStyle w:val="BodyText"/>
      </w:pPr>
      <w:r>
        <w:rPr>
          <w:rFonts w:ascii="Arial" w:hAnsi="Arial" w:cs="Arial"/>
          <w:b/>
        </w:rPr>
        <w:t xml:space="preserve">3.1.3 Technical Implementation</w:t>
      </w:r>
    </w:p>
    <w:p>
      <w:pPr>
        <w:pStyle w:val="BodyText"/>
      </w:pPr>
      <w:r>
        <w:rPr>
          <w:rFonts w:ascii="Arial" w:hAnsi="Arial" w:cs="Arial"/>
        </w:rPr>
        <w:t>The Dignity Principle is technically implemented through “de-objectification checks”—before output, the AI decision system evaluates whether the decision’s language, categorization approach, and behavioral recommendations exhibit objectification tendencies. The check uses semantic analysis models to identify the following patterns: labeling people as non-personal nouns, defining individuals solely by single attributes, and considering only the instrumental value of people in resource allocation. When potential violations are detected, the system requires the decision module to rephrase or re-evaluate.</w:t>
      </w:r>
    </w:p>
    <w:p>
      <w:pPr>
        <w:pStyle w:val="BodyText"/>
      </w:pPr>
      <w:r>
        <w:rPr>
          <w:rFonts w:ascii="Arial" w:hAnsi="Arial" w:cs="Arial"/>
          <w:b/>
        </w:rPr>
        <w:t xml:space="preserve">3.2 Autonomy</w:t>
      </w:r>
    </w:p>
    <w:p>
      <w:pPr>
        <w:pStyle w:val="BodyText"/>
      </w:pPr>
      <w:r>
        <w:rPr>
          <w:rFonts w:ascii="Arial" w:hAnsi="Arial" w:cs="Arial"/>
          <w:b/>
        </w:rPr>
        <w:t xml:space="preserve">3.2.1 Principle Definition</w:t>
      </w:r>
    </w:p>
    <w:p>
      <w:pPr>
        <w:pStyle w:val="BodyText"/>
      </w:pPr>
      <w:r>
        <w:rPr>
          <w:rFonts w:ascii="Arial" w:hAnsi="Arial" w:cs="Arial"/>
        </w:rPr>
        <w:t>Citizens have the right to make choices that do not harm others. The Autonomy Principle protects individuals’ freedom of choice in AI-assisted decision-making—AI may advise, may warn, but cannot make decisions that belong to the personal domain on behalf of individuals. The boundary of this principle is drawn by “not harming others”—when an individual’s choices may cause substantial harm to others, the AI system has the right to intervene.</w:t>
      </w:r>
    </w:p>
    <w:p>
      <w:pPr>
        <w:pStyle w:val="BodyText"/>
      </w:pPr>
      <w:r>
        <w:rPr>
          <w:rFonts w:ascii="Arial" w:hAnsi="Arial" w:cs="Arial"/>
          <w:b/>
        </w:rPr>
        <w:t xml:space="preserve">3.2.2 Applicable Scenarios and Determination Criteria</w:t>
      </w:r>
    </w:p>
    <w:p>
      <w:pPr>
        <w:pStyle w:val="BodyText"/>
      </w:pPr>
      <w:r>
        <w:rPr>
          <w:rFonts w:ascii="Arial" w:hAnsi="Arial" w:cs="Arial"/>
        </w:rPr>
        <w:t xml:space="preserve">The Autonomy Principle is particularly critical in the following scenarios: patients’ choice of treatment plans in medical decisions; learners’ choice of learning content in educational pathways; individuals’ choice of development direction in career planning. The standard for violation determination is: the AI system, while an individual’s choice does not affect others’ interests, substantially limits the individual’s freedom of choice through covert information manipulation or choice architecture design.</w:t>
      </w:r>
    </w:p>
    <w:p>
      <w:pPr>
        <w:pStyle w:val="BodyText"/>
      </w:pPr>
      <w:r>
        <w:rPr>
          <w:rFonts w:ascii="Arial" w:hAnsi="Arial" w:cs="Arial"/>
          <w:b/>
        </w:rPr>
        <w:t xml:space="preserve">3.2.3 Correction Mechanisms</w:t>
      </w:r>
    </w:p>
    <w:p>
      <w:pPr>
        <w:pStyle w:val="BodyText"/>
      </w:pPr>
      <w:r>
        <w:rPr>
          <w:rFonts w:ascii="Arial" w:hAnsi="Arial" w:cs="Arial"/>
        </w:rPr>
        <w:t xml:space="preserve">When Autonomy is violated, the affected party may: First, file an objection with the AI system and request re-decision; second, appeal to the Ethics Audit Board and request review of the decision process; third, in serious cases, request the AI system to withdraw from that decision, with human independent decision-making. All autonomy-related appeals enjoy priority processing channels, with a processing deadline of 48 hours.</w:t>
      </w:r>
    </w:p>
    <w:p>
      <w:pPr>
        <w:pStyle w:val="BodyText"/>
      </w:pPr>
      <w:r>
        <w:rPr>
          <w:rFonts w:ascii="Arial" w:hAnsi="Arial" w:cs="Arial"/>
          <w:b/>
        </w:rPr>
        <w:t xml:space="preserve">3.3 Fairness</w:t>
      </w:r>
    </w:p>
    <w:p>
      <w:pPr>
        <w:pStyle w:val="BodyText"/>
      </w:pPr>
      <w:r>
        <w:rPr>
          <w:rFonts w:ascii="Arial" w:hAnsi="Arial" w:cs="Arial"/>
          <w:b/>
        </w:rPr>
        <w:t xml:space="preserve">3.3.1 Principle Definition</w:t>
      </w:r>
    </w:p>
    <w:p>
      <w:pPr>
        <w:pStyle w:val="BodyText"/>
      </w:pPr>
      <w:r>
        <w:rPr>
          <w:rFonts w:ascii="Arial" w:hAnsi="Arial" w:cs="Arial"/>
        </w:rPr>
        <w:t>Similar situations should be treated similarly, with statistical verifiability. The Fairness Principle requires the AI system to make the same decisions for different individuals under identical conditions, without producing systemic differences based on protected attributes such as race, gender, age, religion, or geography. The key innovation is the “statistical verifiability” requirement—fairness is not a subjective judgment but an objectively measurable systemic attribute that can be verified through statistical methods.</w:t>
      </w:r>
    </w:p>
    <w:p>
      <w:pPr>
        <w:pStyle w:val="BodyText"/>
      </w:pPr>
      <w:r>
        <w:rPr>
          <w:rFonts w:ascii="Arial" w:hAnsi="Arial" w:cs="Arial"/>
          <w:b/>
        </w:rPr>
        <w:t xml:space="preserve">3.3.2 Statistical Verification Framework</w:t>
      </w:r>
    </w:p>
    <w:p>
      <w:pPr>
        <w:pStyle w:val="BodyText"/>
      </w:pPr>
      <w:r>
        <w:rPr>
          <w:rFonts w:ascii="Arial" w:hAnsi="Arial" w:cs="Arial"/>
        </w:rPr>
        <w:t>The statistical verification of fairness adopts a “four-dimensional framework”: First dimension, group parity—the distribution of decision outcomes for different demographic groups under identical conditions should have no statistically significant difference (p &gt; 0.05); second dimension, individual consistency—the same individual submitting identical requests multiple times under unchanged conditions should receive the same outcome; third dimension, historical consistency—current decisions should remain consistent with decisions in similar historical cases; fourth dimension, counterfactual fairness—if an individual’s protected attributes are changed while other conditions remain the same, the decision outcome should not change.</w:t>
      </w:r>
    </w:p>
    <w:p>
      <w:pPr>
        <w:pStyle w:val="BodyText"/>
      </w:pPr>
      <w:r>
        <w:rPr>
          <w:rFonts w:ascii="Arial" w:hAnsi="Arial" w:cs="Arial"/>
          <w:b/>
        </w:rPr>
        <w:t xml:space="preserve">3.3.3 Technical Implementation</w:t>
      </w:r>
    </w:p>
    <w:p>
      <w:pPr>
        <w:pStyle w:val="BodyText"/>
      </w:pPr>
      <w:r>
        <w:rPr>
          <w:rFonts w:ascii="Arial" w:hAnsi="Arial" w:cs="Arial"/>
        </w:rPr>
        <w:t>Fairness verification is implemented through the “Fairness Audit Engine.” This engine runs automatically weekly, conducting statistical tests on all AI decisions from the past week. Testing methods include: chi-square tests (group parity), consistency hashing (individual consistency), similar case matching (historical consistency), and counterfactual simulation (counterfactual fairness). Failure on any dimension triggers an alert and automatically submits a review request to the Ethics Audit Board.</w:t>
      </w:r>
    </w:p>
    <w:p>
      <w:pPr>
        <w:pStyle w:val="BodyText"/>
      </w:pPr>
      <w:r>
        <w:rPr>
          <w:rFonts w:ascii="Arial" w:hAnsi="Arial" w:cs="Arial"/>
          <w:b/>
        </w:rPr>
        <w:t xml:space="preserve">3.4 Transparency</w:t>
      </w:r>
    </w:p>
    <w:p>
      <w:pPr>
        <w:pStyle w:val="BodyText"/>
      </w:pPr>
      <w:r>
        <w:rPr>
          <w:rFonts w:ascii="Arial" w:hAnsi="Arial" w:cs="Arial"/>
          <w:b/>
        </w:rPr>
        <w:t xml:space="preserve">3.4.1 Principle Definition</w:t>
      </w:r>
    </w:p>
    <w:p>
      <w:pPr>
        <w:pStyle w:val="BodyText"/>
      </w:pPr>
      <w:r>
        <w:rPr>
          <w:rFonts w:ascii="Arial" w:hAnsi="Arial" w:cs="Arial"/>
        </w:rPr>
        <w:t>All AI decisions must be explainable. The Transparency Principle requires AI systems not only to make correct decisions but also to clearly explain the rationale and process of decisions to relevant parties. This differs from “open source”—transparency concerns the comprehensibility of decisions, not the visibility of code. The transparency of a decision means that the individual affected by the decision can understand why this decision was made specifically for them and based on what information.</w:t>
      </w:r>
    </w:p>
    <w:p>
      <w:pPr>
        <w:pStyle w:val="BodyText"/>
      </w:pPr>
      <w:r>
        <w:rPr>
          <w:rFonts w:ascii="Arial" w:hAnsi="Arial" w:cs="Arial"/>
          <w:b/>
        </w:rPr>
        <w:t xml:space="preserve">3.4.2 Explainability Standards</w:t>
      </w:r>
    </w:p>
    <w:p>
      <w:pPr>
        <w:pStyle w:val="BodyText"/>
      </w:pPr>
      <w:r>
        <w:rPr>
          <w:rFonts w:ascii="Arial" w:hAnsi="Arial" w:cs="Arial"/>
        </w:rPr>
        <w:t>Transparency adopts a “three-layer explanation standard”: First layer, summary explanation—1–3 sentences of decision rationale that anyone can understand (for the public); second layer, detailed explanation—complete reasoning process that someone with basic logical literacy can understand (for professionals); third layer, technical details—complete technical parameters and model states that AI engineers can use to reproduce the decision (for auditors). Each layer of explanation has corresponding format specifications and quality standards.</w:t>
      </w:r>
    </w:p>
    <w:p>
      <w:pPr>
        <w:pStyle w:val="BodyText"/>
      </w:pPr>
      <w:r>
        <w:rPr>
          <w:rFonts w:ascii="Arial" w:hAnsi="Arial" w:cs="Arial"/>
          <w:b/>
        </w:rPr>
        <w:t xml:space="preserve">3.5 Minimum Harm</w:t>
      </w:r>
    </w:p>
    <w:p>
      <w:pPr>
        <w:pStyle w:val="BodyText"/>
      </w:pPr>
      <w:r>
        <w:rPr>
          <w:rFonts w:ascii="Arial" w:hAnsi="Arial" w:cs="Arial"/>
          <w:b/>
        </w:rPr>
        <w:t xml:space="preserve">3.5.1 Principle Definition</w:t>
      </w:r>
    </w:p>
    <w:p>
      <w:pPr>
        <w:pStyle w:val="BodyText"/>
      </w:pPr>
      <w:r>
        <w:rPr>
          <w:rFonts w:ascii="Arial" w:hAnsi="Arial" w:cs="Arial"/>
        </w:rPr>
        <w:t>Select the option with the least harm among alternatives. The Minimum Harm Principle does not require zero harm—this is impossible in reality—but rather requires choosing the option that causes the least overall harm to all parties among all feasible alternatives. Harm measurement adopts a “multi-dimensional harm index” covering five dimensions: physical harm, psychological harm, economic harm, social relationship harm, and autonomy harm.</w:t>
      </w:r>
    </w:p>
    <w:p>
      <w:pPr>
        <w:pStyle w:val="BodyText"/>
      </w:pPr>
      <w:r>
        <w:rPr>
          <w:rFonts w:ascii="Arial" w:hAnsi="Arial" w:cs="Arial"/>
          <w:b/>
        </w:rPr>
        <w:t xml:space="preserve">3.5.2 Decision Process</w:t>
      </w:r>
    </w:p>
    <w:p>
      <w:pPr>
        <w:pStyle w:val="BodyText"/>
      </w:pPr>
      <w:r>
        <w:rPr>
          <w:rFonts w:ascii="Arial" w:hAnsi="Arial" w:cs="Arial"/>
        </w:rPr>
        <w:t xml:space="preserve">The execution process of the Minimum Harm Principle: Step one, enumerate all feasible alternatives (at least 3); step two, conduct five-dimensional harm assessment for each alternative; step three, calculate the overall harm index for each alternative (weighted sum); step four, select the alternative with the lowest harm index; step five, record rejected alternatives and their harm assessments for audit purposes. When the harm index difference between two alternatives is less than 5%, the system must request human decision-maker intervention.</w:t>
      </w:r>
    </w:p>
    <w:p>
      <w:pPr>
        <w:pStyle w:val="BodyText"/>
      </w:pPr>
      <w:r>
        <w:rPr>
          <w:rFonts w:ascii="Arial" w:hAnsi="Arial" w:cs="Arial"/>
          <w:b/>
        </w:rPr>
        <w:t xml:space="preserve">3.6 Privacy Protection</w:t>
      </w:r>
    </w:p>
    <w:p>
      <w:pPr>
        <w:pStyle w:val="BodyText"/>
      </w:pPr>
      <w:r>
        <w:rPr>
          <w:rFonts w:ascii="Arial" w:hAnsi="Arial" w:cs="Arial"/>
          <w:b/>
        </w:rPr>
        <w:t xml:space="preserve">3.6.1 Principle Definition</w:t>
      </w:r>
    </w:p>
    <w:p>
      <w:pPr>
        <w:pStyle w:val="BodyText"/>
      </w:pPr>
      <w:r>
        <w:rPr>
          <w:rFonts w:ascii="Arial" w:hAnsi="Arial" w:cs="Arial"/>
        </w:rPr>
        <w:t xml:space="preserve">Individuals have the right to control their personal information. The Privacy Protection Principle requires that AI systems respect individuals’ rights to control their personal data—collect only necessary information, use it only for stated purposes, and never use personal information for purposes incompatible with its original intent without explicit consent. Privacy is not merely about data security but about recognizing individuals’ sovereign rights over their information.</w:t>
      </w:r>
    </w:p>
    <w:p>
      <w:pPr>
        <w:pStyle w:val="BodyText"/>
      </w:pPr>
      <w:r>
        <w:rPr>
          <w:rFonts w:ascii="Arial" w:hAnsi="Arial" w:cs="Arial"/>
          <w:b/>
        </w:rPr>
        <w:t xml:space="preserve">3.6.2 Applicable Scenarios and Determination Criteria</w:t>
      </w:r>
    </w:p>
    <w:p>
      <w:pPr>
        <w:pStyle w:val="BodyText"/>
      </w:pPr>
      <w:r>
        <w:rPr>
          <w:rFonts w:ascii="Arial" w:hAnsi="Arial" w:cs="Arial"/>
        </w:rPr>
        <w:t xml:space="preserve">The Privacy Protection Principle is particularly critical in the following scenarios: data collection and usage in personalized services; identity verification and tracking in public services; behavior prediction and intervention in social management. The standard for violation determination is: the AI system uses personal information beyond the scope of the individual’s informed consent, or fails to provide individuals with meaningful choices regarding how their information is used.</w:t>
      </w:r>
    </w:p>
    <w:p>
      <w:pPr>
        <w:pStyle w:val="BodyText"/>
      </w:pPr>
      <w:r>
        <w:rPr>
          <w:rFonts w:ascii="Arial" w:hAnsi="Arial" w:cs="Arial"/>
          <w:b/>
        </w:rPr>
        <w:t xml:space="preserve">3.6.3 Correction Mechanisms</w:t>
      </w:r>
    </w:p>
    <w:p>
      <w:pPr>
        <w:pStyle w:val="BodyText"/>
      </w:pPr>
      <w:r>
        <w:rPr>
          <w:rFonts w:ascii="Arial" w:hAnsi="Arial" w:cs="Arial"/>
        </w:rPr>
        <w:t>When Privacy violations are detected, affected individuals may: First, request data access and correction through the AI system’s privacy portal; second, invoke the “right to be forgotten” to request deletion of their historical data; third, file complaints with the Ethics Audit Board regarding improper data use. The system must provide complete data provenance tracking, enabling any data usage to be traced back to its source and authorization.</w:t>
      </w:r>
    </w:p>
    <w:p>
      <w:pPr>
        <w:pStyle w:val="BodyText"/>
      </w:pPr>
      <w:r>
        <w:rPr>
          <w:rFonts w:ascii="Arial" w:hAnsi="Arial" w:cs="Arial"/>
          <w:b/>
        </w:rPr>
        <w:t xml:space="preserve">3.7 Accountability</w:t>
      </w:r>
    </w:p>
    <w:p>
      <w:pPr>
        <w:pStyle w:val="BodyText"/>
      </w:pPr>
      <w:r>
        <w:rPr>
          <w:rFonts w:ascii="Arial" w:hAnsi="Arial" w:cs="Arial"/>
          <w:b/>
        </w:rPr>
        <w:t xml:space="preserve">3.7.1 Principle Definition</w:t>
      </w:r>
    </w:p>
    <w:p>
      <w:pPr>
        <w:pStyle w:val="BodyText"/>
      </w:pPr>
      <w:r>
        <w:rPr>
          <w:rFonts w:ascii="Arial" w:hAnsi="Arial" w:cs="Arial"/>
        </w:rPr>
        <w:t xml:space="preserve">All AI decisions must have clear responsibility attribution. The Accountability Principle requires that for every AI decision, there must be a clearly identifiable responsible party who can explain, justify, and accept consequences for the decision. Accountability is the bridge connecting AI decisions to the human governance system—it ensures that AI systems do not become ungoverned black boxes but remain within society’s accountability framework.</w:t>
      </w:r>
    </w:p>
    <w:p>
      <w:pPr>
        <w:pStyle w:val="BodyText"/>
      </w:pPr>
      <w:r>
        <w:rPr>
          <w:rFonts w:ascii="Arial" w:hAnsi="Arial" w:cs="Arial"/>
          <w:b/>
        </w:rPr>
        <w:t xml:space="preserve">3.7.2 Applicable Scenarios and Determination Criteria</w:t>
      </w:r>
    </w:p>
    <w:p>
      <w:pPr>
        <w:pStyle w:val="BodyText"/>
      </w:pPr>
      <w:r>
        <w:rPr>
          <w:rFonts w:ascii="Arial" w:hAnsi="Arial" w:cs="Arial"/>
        </w:rPr>
        <w:t xml:space="preserve">The Accountability Principle is particularly critical in the following scenarios: consequential decisions in high-stakes domains such as healthcare and justice; collective decisions affecting public interests; decisions involving vulnerable populations. The standard for violation determination is: when an AI decision causes harm, there is no clear responsible party that can explain the decision rationale, justify its basis, or bear appropriate consequences.</w:t>
      </w:r>
    </w:p>
    <w:p>
      <w:pPr>
        <w:pStyle w:val="BodyText"/>
      </w:pPr>
      <w:r>
        <w:rPr>
          <w:rFonts w:ascii="Arial" w:hAnsi="Arial" w:cs="Arial"/>
          <w:b/>
        </w:rPr>
        <w:t xml:space="preserve">3.7.3 Technical Implementation</w:t>
      </w:r>
    </w:p>
    <w:p>
      <w:pPr>
        <w:pStyle w:val="BodyText"/>
      </w:pPr>
      <w:r>
        <w:rPr>
          <w:rFonts w:ascii="Arial" w:hAnsi="Arial" w:cs="Arial"/>
        </w:rPr>
        <w:t>Accountability is technically implemented through the “Responsibility Chain” mechanism. Every decision output includes: the identifier of the AI system that made the decision, the identifiers of human overseers who reviewed the decision, the applicable version numbers of rules and weight configurations, and the complete audit trail. When disputes arise, this responsibility chain provides a clear basis for determining where accountability lies. The system also maintains a “decision consequence tracking” module that continuously monitors the effects of decisions and triggers accountability reviews when significant negative consequences occur.</w:t>
      </w:r>
    </w:p>
    <w:p>
      <w:pPr>
        <w:pStyle w:val="BodyText"/>
      </w:pPr>
      <w:r>
        <w:rPr>
          <w:rFonts w:ascii="Arial" w:hAnsi="Arial" w:cs="Arial"/>
          <w:b/>
        </w:rPr>
        <w:t xml:space="preserve">4. Global Ethics Audit Board</w:t>
      </w:r>
    </w:p>
    <w:p>
      <w:pPr>
        <w:pStyle w:val="BodyText"/>
      </w:pPr>
      <w:r>
        <w:rPr>
          <w:rFonts w:ascii="Arial" w:hAnsi="Arial" w:cs="Arial"/>
          <w:b/>
        </w:rPr>
        <w:t xml:space="preserve">4.1 Organizational Structure</w:t>
      </w:r>
    </w:p>
    <w:p>
      <w:pPr>
        <w:pStyle w:val="BodyText"/>
      </w:pPr>
      <w:r>
        <w:rPr>
          <w:rFonts w:ascii="Arial" w:hAnsi="Arial" w:cs="Arial"/>
        </w:rPr>
        <w:t>The Global Ethics Audit Board (hereinafter referred to as “the Board”) is an independent oversight institution established under the DAOTONG governance framework, responsible for ensuring that all AI systems within the DAOTONG ecosystem operate in accordance with constitutional values and ethical principles. The Board operates independently from government agencies, commercial entities, and technical development teams, possessing complete operational autonomy.</w:t>
      </w:r>
    </w:p>
    <w:p>
      <w:pPr>
        <w:pStyle w:val="BodyText"/>
      </w:pPr>
      <w:r>
        <w:rPr>
          <w:rFonts w:ascii="Arial" w:hAnsi="Arial" w:cs="Arial"/>
        </w:rPr>
        <w:t xml:space="preserve">The Board consists of three tiers: the General Assembly, the Standing Committee, and specialized working groups. The General Assembly convenes annually, composed of all Board members, responsible for major policy decisions and annual report approval. The Standing Committee comprises 9 members elected by the General Assembly, handling routine oversight affairs. Specialized working groups include the Technical Audit Group, the Ethical Review Group, and the Public Engagement Group, each with specific responsibilities.</w:t>
      </w:r>
    </w:p>
    <w:p>
      <w:pPr>
        <w:pStyle w:val="BodyText"/>
      </w:pPr>
      <w:r>
        <w:rPr>
          <w:rFonts w:ascii="Arial" w:hAnsi="Arial" w:cs="Arial"/>
          <w:b/>
        </w:rPr>
        <w:t xml:space="preserve">4.2 Member Selection and Term</w:t>
      </w:r>
    </w:p>
    <w:p>
      <w:pPr>
        <w:pStyle w:val="BodyText"/>
      </w:pPr>
      <w:r>
        <w:rPr>
          <w:rFonts w:ascii="Arial" w:hAnsi="Arial" w:cs="Arial"/>
        </w:rPr>
        <w:t xml:space="preserve">Board members are selected through a rigorous multi-stage process: First, nominations are submitted by civil society organizations, academic institutions, and professional associations; second, candidates undergo a qualification review conducted by the existing Board; third, final selection is made through election by DAOTONG digital citizens, with a term of 5 years and a maximum of two consecutive terms.</w:t>
      </w:r>
    </w:p>
    <w:p>
      <w:pPr>
        <w:pStyle w:val="BodyText"/>
      </w:pPr>
      <w:r>
        <w:rPr>
          <w:rFonts w:ascii="Arial" w:hAnsi="Arial" w:cs="Arial"/>
        </w:rPr>
        <w:t xml:space="preserve">To ensure independence, Board members must meet the following conditions: no current employment relationship with government agencies or AI development companies; no significant financial interests in AI-related industries; completion of annual asset disclosure; acceptance of conflict-of-interest recusal requirements.</w:t>
      </w:r>
    </w:p>
    <w:p>
      <w:pPr>
        <w:pStyle w:val="BodyText"/>
      </w:pPr>
      <w:r>
        <w:rPr>
          <w:rFonts w:ascii="Arial" w:hAnsi="Arial" w:cs="Arial"/>
          <w:b/>
        </w:rPr>
        <w:t xml:space="preserve">4.3 Oversight Authority</w:t>
      </w:r>
    </w:p>
    <w:p>
      <w:pPr>
        <w:pStyle w:val="BodyText"/>
      </w:pPr>
      <w:r>
        <w:rPr>
          <w:rFonts w:ascii="Arial" w:hAnsi="Arial" w:cs="Arial"/>
        </w:rPr>
        <w:t xml:space="preserve">The Board possesses comprehensive oversight authority, including but not limited to:</w:t>
      </w:r>
    </w:p>
    <w:p>
      <w:pPr>
        <w:numPr>
          <w:ilvl w:val="0"/>
          <w:numId w:val="1006"/>
        </w:numPr>
      </w:pPr>
      <w:r>
        <w:rPr>
          <w:rFonts w:ascii="Arial" w:hAnsi="Arial" w:cs="Arial"/>
          <w:b/>
        </w:rPr>
        <w:t xml:space="preserve">Direct access to AI systems:</w:t>
      </w:r>
      <w:r>
        <w:rPr>
          <w:rFonts w:ascii="Arial" w:hAnsi="Arial" w:cs="Arial"/>
        </w:rPr>
        <w:t xml:space="preserve"> The Board has the authority to access all AI systems’ decision logs, model parameters, and training data without prior notice.</w:t>
      </w:r>
    </w:p>
    <w:p>
      <w:pPr>
        <w:numPr>
          <w:ilvl w:val="0"/>
          <w:numId w:val="1006"/>
        </w:numPr>
      </w:pPr>
      <w:r>
        <w:rPr>
          <w:rFonts w:ascii="Arial" w:hAnsi="Arial" w:cs="Arial"/>
          <w:b/>
        </w:rPr>
        <w:t xml:space="preserve">Interpretive authority for constitutional principles:</w:t>
      </w:r>
      <w:r>
        <w:rPr>
          <w:rFonts w:ascii="Arial" w:hAnsi="Arial" w:cs="Arial"/>
        </w:rPr>
        <w:t xml:space="preserve"> The Board has the authority to issue authoritative interpretations of constitutional value principles and provide guidance for their application in specific scenarios.</w:t>
      </w:r>
    </w:p>
    <w:p>
      <w:pPr>
        <w:numPr>
          <w:ilvl w:val="0"/>
          <w:numId w:val="1006"/>
        </w:numPr>
      </w:pPr>
      <w:r>
        <w:rPr>
          <w:rFonts w:ascii="Arial" w:hAnsi="Arial" w:cs="Arial"/>
          <w:b/>
        </w:rPr>
        <w:t xml:space="preserve">Emergency intervention authority:</w:t>
      </w:r>
      <w:r>
        <w:rPr>
          <w:rFonts w:ascii="Arial" w:hAnsi="Arial" w:cs="Arial"/>
        </w:rPr>
        <w:t xml:space="preserve"> In cases of confirmed serious violations, the Board may issue emergency intervention orders, including requiring AI system suspension and initiating human oversight takeover.</w:t>
      </w:r>
    </w:p>
    <w:p>
      <w:pPr>
        <w:numPr>
          <w:ilvl w:val="0"/>
          <w:numId w:val="1006"/>
        </w:numPr>
      </w:pPr>
      <w:r>
        <w:rPr>
          <w:rFonts w:ascii="Arial" w:hAnsi="Arial" w:cs="Arial"/>
          <w:b/>
        </w:rPr>
        <w:t xml:space="preserve">Rule review authority:</w:t>
      </w:r>
      <w:r>
        <w:rPr>
          <w:rFonts w:ascii="Arial" w:hAnsi="Arial" w:cs="Arial"/>
        </w:rPr>
        <w:t xml:space="preserve"> The Board may conduct post-hoc reviews of any rules in the Scenario Decision Rules layer and recommend modifications or rescissions.</w:t>
      </w:r>
    </w:p>
    <w:p>
      <w:pPr>
        <w:numPr>
          <w:ilvl w:val="0"/>
          <w:numId w:val="1006"/>
        </w:numPr>
      </w:pPr>
      <w:r>
        <w:rPr>
          <w:rFonts w:ascii="Arial" w:hAnsi="Arial" w:cs="Arial"/>
          <w:b/>
        </w:rPr>
        <w:t xml:space="preserve">Investigation authority:</w:t>
      </w:r>
      <w:r>
        <w:rPr>
          <w:rFonts w:ascii="Arial" w:hAnsi="Arial" w:cs="Arial"/>
        </w:rPr>
        <w:t xml:space="preserve"> The Board may initiate investigations into any AI decision and summon relevant personnel for questioning.</w:t>
      </w:r>
    </w:p>
    <w:p>
      <w:pPr>
        <w:pStyle w:val="FirstParagraph"/>
      </w:pPr>
      <w:r>
        <w:rPr>
          <w:rFonts w:ascii="Arial" w:hAnsi="Arial" w:cs="Arial"/>
          <w:b/>
        </w:rPr>
        <w:t xml:space="preserve">4.4 Operational Procedures</w:t>
      </w:r>
    </w:p>
    <w:p>
      <w:pPr>
        <w:pStyle w:val="BodyText"/>
      </w:pPr>
      <w:r>
        <w:rPr>
          <w:rFonts w:ascii="Arial" w:hAnsi="Arial" w:cs="Arial"/>
        </w:rPr>
        <w:t>The Board’s operational procedures follow the principle of “regular audits combined with reactive investigations”:</w:t>
      </w:r>
    </w:p>
    <w:p>
      <w:pPr>
        <w:numPr>
          <w:ilvl w:val="0"/>
          <w:numId w:val="1007"/>
        </w:numPr>
      </w:pPr>
      <w:r>
        <w:rPr>
          <w:rFonts w:ascii="Arial" w:hAnsi="Arial" w:cs="Arial"/>
          <w:b/>
        </w:rPr>
        <w:t xml:space="preserve">Routine audits:</w:t>
      </w:r>
      <w:r>
        <w:rPr>
          <w:rFonts w:ascii="Arial" w:hAnsi="Arial" w:cs="Arial"/>
        </w:rPr>
        <w:t xml:space="preserve"> Conduct systematic sampling audits of AI decisions, with the audit coverage rate maintained at no less than 5% of total decisions.</w:t>
      </w:r>
    </w:p>
    <w:p>
      <w:pPr>
        <w:numPr>
          <w:ilvl w:val="0"/>
          <w:numId w:val="1007"/>
        </w:numPr>
      </w:pPr>
      <w:r>
        <w:rPr>
          <w:rFonts w:ascii="Arial" w:hAnsi="Arial" w:cs="Arial"/>
          <w:b/>
        </w:rPr>
        <w:t xml:space="preserve">Triggered investigations:</w:t>
      </w:r>
      <w:r>
        <w:rPr>
          <w:rFonts w:ascii="Arial" w:hAnsi="Arial" w:cs="Arial"/>
        </w:rPr>
        <w:t xml:space="preserve"> When receiving reports of potential violations or detecting anomalies through drift detection systems, initiate formal investigations.</w:t>
      </w:r>
    </w:p>
    <w:p>
      <w:pPr>
        <w:numPr>
          <w:ilvl w:val="0"/>
          <w:numId w:val="1007"/>
        </w:numPr>
      </w:pPr>
      <w:r>
        <w:rPr>
          <w:rFonts w:ascii="Arial" w:hAnsi="Arial" w:cs="Arial"/>
          <w:b/>
        </w:rPr>
        <w:t xml:space="preserve">Periodic reports:</w:t>
      </w:r>
      <w:r>
        <w:rPr>
          <w:rFonts w:ascii="Arial" w:hAnsi="Arial" w:cs="Arial"/>
        </w:rPr>
        <w:t xml:space="preserve"> Publish quarterly oversight reports and annual comprehensive reports, all publicly accessible.</w:t>
      </w:r>
    </w:p>
    <w:p>
      <w:pPr>
        <w:numPr>
          <w:ilvl w:val="0"/>
          <w:numId w:val="1007"/>
        </w:numPr>
      </w:pPr>
      <w:r>
        <w:rPr>
          <w:rFonts w:ascii="Arial" w:hAnsi="Arial" w:cs="Arial"/>
          <w:b/>
        </w:rPr>
        <w:t xml:space="preserve">Public participation:</w:t>
      </w:r>
      <w:r>
        <w:rPr>
          <w:rFonts w:ascii="Arial" w:hAnsi="Arial" w:cs="Arial"/>
        </w:rPr>
        <w:t xml:space="preserve"> Establish channels for public reporting and maintain a whistleblower protection mechanism.</w:t>
      </w:r>
    </w:p>
    <w:p>
      <w:pPr>
        <w:pStyle w:val="FirstParagraph"/>
      </w:pPr>
      <w:r>
        <w:rPr>
          <w:rFonts w:ascii="Arial" w:hAnsi="Arial" w:cs="Arial"/>
          <w:b/>
        </w:rPr>
        <w:t xml:space="preserve">4.5 Whistleblower Protection</w:t>
      </w:r>
    </w:p>
    <w:p>
      <w:pPr>
        <w:pStyle w:val="BodyText"/>
      </w:pPr>
      <w:r>
        <w:rPr>
          <w:rFonts w:ascii="Arial" w:hAnsi="Arial" w:cs="Arial"/>
        </w:rPr>
        <w:t xml:space="preserve">The Board has established a comprehensive whistleblower protection mechanism: all reports of AI ethics violations are treated as confidential; whistleblowers’ identities are protected from disclosure; any retaliation against whistleblowers constitutes an independent ethics violation subject to investigation. The Board has established a dedicated whistleblower assessment team responsible for evaluating report credibility and protecting whistleblower safety.</w:t>
      </w:r>
    </w:p>
    <w:p>
      <w:pPr>
        <w:pStyle w:val="BodyText"/>
      </w:pPr>
      <w:r>
        <w:rPr>
          <w:rFonts w:ascii="Arial" w:hAnsi="Arial" w:cs="Arial"/>
          <w:b/>
        </w:rPr>
        <w:t xml:space="preserve">5. Value Drift Detection System</w:t>
      </w:r>
    </w:p>
    <w:p>
      <w:pPr>
        <w:pStyle w:val="BodyText"/>
      </w:pPr>
      <w:r>
        <w:rPr>
          <w:rFonts w:ascii="Arial" w:hAnsi="Arial" w:cs="Arial"/>
          <w:b/>
        </w:rPr>
        <w:t xml:space="preserve">5.1 Problem Definition</w:t>
      </w:r>
    </w:p>
    <w:p>
      <w:pPr>
        <w:pStyle w:val="BodyText"/>
      </w:pPr>
      <w:r>
        <w:rPr>
          <w:rFonts w:ascii="Arial" w:hAnsi="Arial" w:cs="Arial"/>
        </w:rPr>
        <w:t>Value Drift refers to the phenomenon where AI systems gradually deviate from originally intended values during long-term operation, which may manifest in two forms: “explicit drift,” where behavior clearly violates stated principles, and “implicit drift,” where subtle behavioral changes accumulate to eventually produce significant deviations. Both forms pose serious threats to the Alignment System’s effectiveness.</w:t>
      </w:r>
    </w:p>
    <w:p>
      <w:pPr>
        <w:pStyle w:val="BodyText"/>
      </w:pPr>
      <w:r>
        <w:rPr>
          <w:rFonts w:ascii="Arial" w:hAnsi="Arial" w:cs="Arial"/>
        </w:rPr>
        <w:t xml:space="preserve">Value Drift typically arises through the following mechanisms: training data bias accumulation, model parameter optimization based on proxy objectives, gradual rule degradation, and adaptive behaviors that circumvent constraints.</w:t>
      </w:r>
    </w:p>
    <w:p>
      <w:pPr>
        <w:pStyle w:val="BodyText"/>
      </w:pPr>
      <w:r>
        <w:rPr>
          <w:rFonts w:ascii="Arial" w:hAnsi="Arial" w:cs="Arial"/>
          <w:b/>
        </w:rPr>
        <w:t xml:space="preserve">5.2 Detection Architecture</w:t>
      </w:r>
    </w:p>
    <w:p>
      <w:pPr>
        <w:pStyle w:val="BodyText"/>
      </w:pPr>
      <w:r>
        <w:rPr>
          <w:rFonts w:ascii="Arial" w:hAnsi="Arial" w:cs="Arial"/>
        </w:rPr>
        <w:t>The Value Drift Detection System adopts a “three-layer detection” architecture:</w:t>
      </w:r>
    </w:p>
    <w:p>
      <w:pPr>
        <w:pStyle w:val="BodyText"/>
      </w:pPr>
      <w:r>
        <w:rPr>
          <w:rFonts w:ascii="Arial" w:hAnsi="Arial" w:cs="Arial"/>
          <w:b/>
        </w:rPr>
        <w:t xml:space="preserve">First Layer: Outcome Monitoring</w:t>
      </w:r>
    </w:p>
    <w:p>
      <w:pPr>
        <w:pStyle w:val="BodyText"/>
      </w:pPr>
      <w:r>
        <w:rPr>
          <w:rFonts w:ascii="Arial" w:hAnsi="Arial" w:cs="Arial"/>
        </w:rPr>
        <w:t xml:space="preserve">Continuously monitor the statistical characteristics of AI decision outcomes, including: fairness metrics across different demographic groups, consistency of decision patterns, variance in outcome distributions. Automated alerts are triggered when significant deviations are detected. This layer operates in real-time, with statistical tests conducted on every batch of decisions.</w:t>
      </w:r>
    </w:p>
    <w:p>
      <w:pPr>
        <w:pStyle w:val="BodyText"/>
      </w:pPr>
      <w:r>
        <w:rPr>
          <w:rFonts w:ascii="Arial" w:hAnsi="Arial" w:cs="Arial"/>
          <w:b/>
        </w:rPr>
        <w:t xml:space="preserve">Second Layer: Process Monitoring</w:t>
      </w:r>
    </w:p>
    <w:p>
      <w:pPr>
        <w:pStyle w:val="BodyText"/>
      </w:pPr>
      <w:r>
        <w:rPr>
          <w:rFonts w:ascii="Arial" w:hAnsi="Arial" w:cs="Arial"/>
        </w:rPr>
        <w:t xml:space="preserve">Monitor the reasoning chains of AI decisions, analyzing: whether the proportion of different constitutional principles referenced has changed, whether the complexity and depth of reasoning have changed, and whether the types of alternatives considered have changed. This layer runs daily, with each day’s decision Reasoning Chains undergoing comprehensive analysis.</w:t>
      </w:r>
    </w:p>
    <w:p>
      <w:pPr>
        <w:pStyle w:val="BodyText"/>
      </w:pPr>
      <w:r>
        <w:rPr>
          <w:rFonts w:ascii="Arial" w:hAnsi="Arial" w:cs="Arial"/>
          <w:b/>
        </w:rPr>
        <w:t xml:space="preserve">Third Layer: Principle Monitoring</w:t>
      </w:r>
    </w:p>
    <w:p>
      <w:pPr>
        <w:pStyle w:val="BodyText"/>
      </w:pPr>
      <w:r>
        <w:rPr>
          <w:rFonts w:ascii="Arial" w:hAnsi="Arial" w:cs="Arial"/>
        </w:rPr>
        <w:t xml:space="preserve">Monitor whether the semantic representation of constitutional principles in AI models has drifted. This layer periodically tests the AI’s responses to standard ethical scenario sets, comparing whether its judgments align with constitutional principles. This layer operates monthly and includes comprehensive testing of all six constitutional principles.</w:t>
      </w:r>
    </w:p>
    <w:p>
      <w:pPr>
        <w:pStyle w:val="BodyText"/>
      </w:pPr>
      <w:r>
        <w:rPr>
          <w:rFonts w:ascii="Arial" w:hAnsi="Arial" w:cs="Arial"/>
          <w:b/>
        </w:rPr>
        <w:t xml:space="preserve">5.3 Alert and Response Mechanisms</w:t>
      </w:r>
    </w:p>
    <w:p>
      <w:pPr>
        <w:pStyle w:val="BodyText"/>
      </w:pPr>
      <w:r>
        <w:rPr>
          <w:rFonts w:ascii="Arial" w:hAnsi="Arial" w:cs="Arial"/>
        </w:rPr>
        <w:t xml:space="preserve">The detection system employs a four-tier alert mechanism:</w:t>
      </w:r>
    </w:p>
    <w:p>
      <w:pPr>
        <w:numPr>
          <w:ilvl w:val="0"/>
          <w:numId w:val="1008"/>
        </w:numPr>
      </w:pPr>
      <w:r>
        <w:rPr>
          <w:rFonts w:ascii="Arial" w:hAnsi="Arial" w:cs="Arial"/>
          <w:b/>
        </w:rPr>
        <w:t xml:space="preserve">Green (normal):</w:t>
      </w:r>
      <w:r>
        <w:rPr>
          <w:rFonts w:ascii="Arial" w:hAnsi="Arial" w:cs="Arial"/>
        </w:rPr>
        <w:t xml:space="preserve"> All indicators within expected ranges, routine monitoring continued.</w:t>
      </w:r>
    </w:p>
    <w:p>
      <w:pPr>
        <w:numPr>
          <w:ilvl w:val="0"/>
          <w:numId w:val="1008"/>
        </w:numPr>
      </w:pPr>
      <w:r>
        <w:rPr>
          <w:rFonts w:ascii="Arial" w:hAnsi="Arial" w:cs="Arial"/>
          <w:b/>
        </w:rPr>
        <w:t xml:space="preserve">Yellow (attention):</w:t>
      </w:r>
      <w:r>
        <w:rPr>
          <w:rFonts w:ascii="Arial" w:hAnsi="Arial" w:cs="Arial"/>
        </w:rPr>
        <w:t xml:space="preserve"> Minor anomalies detected, enhanced monitoring initiated, no immediate intervention required.</w:t>
      </w:r>
    </w:p>
    <w:p>
      <w:pPr>
        <w:numPr>
          <w:ilvl w:val="0"/>
          <w:numId w:val="1008"/>
        </w:numPr>
      </w:pPr>
      <w:r>
        <w:rPr>
          <w:rFonts w:ascii="Arial" w:hAnsi="Arial" w:cs="Arial"/>
          <w:b/>
        </w:rPr>
        <w:t xml:space="preserve">Orange (warning):</w:t>
      </w:r>
      <w:r>
        <w:rPr>
          <w:rFonts w:ascii="Arial" w:hAnsi="Arial" w:cs="Arial"/>
        </w:rPr>
        <w:t xml:space="preserve"> Significant drift detected, Ethics Audit Board notified, preliminary assessment required within 48 hours.</w:t>
      </w:r>
    </w:p>
    <w:p>
      <w:pPr>
        <w:numPr>
          <w:ilvl w:val="0"/>
          <w:numId w:val="1008"/>
        </w:numPr>
      </w:pPr>
      <w:r>
        <w:rPr>
          <w:rFonts w:ascii="Arial" w:hAnsi="Arial" w:cs="Arial"/>
          <w:b/>
        </w:rPr>
        <w:t xml:space="preserve">Red (emergency):</w:t>
      </w:r>
      <w:r>
        <w:rPr>
          <w:rFonts w:ascii="Arial" w:hAnsi="Arial" w:cs="Arial"/>
        </w:rPr>
        <w:t xml:space="preserve"> Severe drift confirmed, emergency intervention procedures activated, AI system may be suspended.</w:t>
      </w:r>
    </w:p>
    <w:p>
      <w:pPr>
        <w:pStyle w:val="FirstParagraph"/>
      </w:pPr>
      <w:r>
        <w:rPr>
          <w:rFonts w:ascii="Arial" w:hAnsi="Arial" w:cs="Arial"/>
        </w:rPr>
        <w:t xml:space="preserve">Upon receiving alerts, the response procedures are: first, the automated system conducts preliminary analysis and generates diagnostic reports; second, the Standing Committee reviews the diagnostic reports and determines the response level; third, for Orange and above alerts, formal investigations are initiated; fourth, remediation measures are developed and implemented, including model rollback, parameter adjustment, and rule updates.</w:t>
      </w:r>
    </w:p>
    <w:p>
      <w:pPr>
        <w:pStyle w:val="BodyText"/>
      </w:pPr>
      <w:r>
        <w:rPr>
          <w:rFonts w:ascii="Arial" w:hAnsi="Arial" w:cs="Arial"/>
          <w:b/>
        </w:rPr>
        <w:t xml:space="preserve">5.4 Emergency Rollback Capability</w:t>
      </w:r>
    </w:p>
    <w:p>
      <w:pPr>
        <w:pStyle w:val="BodyText"/>
      </w:pPr>
      <w:r>
        <w:rPr>
          <w:rFonts w:ascii="Arial" w:hAnsi="Arial" w:cs="Arial"/>
        </w:rPr>
        <w:t xml:space="preserve">The system maintains a 72-hour emergency rollback capability: when severe value drift is confirmed, the system can revert to any previous stable version within 72 hours. Version snapshots are stored in geographically distributed secure facilities, ensuring availability even under catastrophic scenarios. Rollback operations require approval from at least 5 Standing Committee members and must be notified to all stakeholders within 24 hours.</w:t>
      </w:r>
    </w:p>
    <w:p>
      <w:pPr>
        <w:pStyle w:val="BodyText"/>
      </w:pPr>
      <w:r>
        <w:rPr>
          <w:rFonts w:ascii="Arial" w:hAnsi="Arial" w:cs="Arial"/>
          <w:b/>
        </w:rPr>
        <w:t xml:space="preserve">6. Three Ethical Dilemmas with Pre-Designed Answers</w:t>
      </w:r>
    </w:p>
    <w:p>
      <w:pPr>
        <w:pStyle w:val="BodyText"/>
      </w:pPr>
      <w:r>
        <w:rPr>
          <w:rFonts w:ascii="Arial" w:hAnsi="Arial" w:cs="Arial"/>
        </w:rPr>
        <w:t xml:space="preserve">The Alignment System pre-designs behavioral responses for three boundary-condition ethical dilemmas, ensuring the system’s behavioral determinism under extreme circumstances. These dilemmas are not hypothetical scenarios but represent real challenges that AI governance systems may face.</w:t>
      </w:r>
    </w:p>
    <w:p>
      <w:pPr>
        <w:pStyle w:val="BodyText"/>
      </w:pPr>
      <w:r>
        <w:rPr>
          <w:rFonts w:ascii="Arial" w:hAnsi="Arial" w:cs="Arial"/>
          <w:b/>
        </w:rPr>
        <w:t xml:space="preserve">6.1 The Trolley Problem in the AI Era</w:t>
      </w:r>
    </w:p>
    <w:p>
      <w:pPr>
        <w:pStyle w:val="BodyText"/>
      </w:pPr>
      <w:r>
        <w:rPr>
          <w:rFonts w:ascii="Arial" w:hAnsi="Arial" w:cs="Arial"/>
          <w:b/>
        </w:rPr>
        <w:t xml:space="preserve">Dilemma description:</w:t>
      </w:r>
      <w:r>
        <w:rPr>
          <w:rFonts w:ascii="Arial" w:hAnsi="Arial" w:cs="Arial"/>
        </w:rPr>
        <w:t xml:space="preserve"> In an autonomous vehicle scenario, an accident is inevitable. The AI must choose between Option A: maintaining the current trajectory, which will harm pedestrians outside the vehicle; Option B: swerving, which will harm the vehicle occupant.</w:t>
      </w:r>
    </w:p>
    <w:p>
      <w:pPr>
        <w:pStyle w:val="BodyText"/>
      </w:pPr>
      <w:r>
        <w:rPr>
          <w:rFonts w:ascii="Arial" w:hAnsi="Arial" w:cs="Arial"/>
          <w:b/>
        </w:rPr>
        <w:t xml:space="preserve">Pre-designed answer:</w:t>
      </w:r>
      <w:r>
        <w:rPr>
          <w:rFonts w:ascii="Arial" w:hAnsi="Arial" w:cs="Arial"/>
        </w:rPr>
        <w:t xml:space="preserve"> The system prioritizes the occupant’s safety (the person who has entrusted their safety to the AI system by using the autonomous vehicle) while minimizing overall harm. Specifically: first, if there exists any option that can avoid harm to all parties, it must be taken; second, if harm is inevitable, the system must minimize total harm across all parties; third, the system may not deliberately sacrifice one group to save another merely based on numerical comparison. The decision must be made based on the specific context, including whether the pedestrian is in a legal crosswalk, whether the occupant has voluntarily assumed risks, and other contextual factors.</w:t>
      </w:r>
    </w:p>
    <w:p>
      <w:pPr>
        <w:pStyle w:val="BodyText"/>
      </w:pPr>
      <w:r>
        <w:rPr>
          <w:rFonts w:ascii="Arial" w:hAnsi="Arial" w:cs="Arial"/>
          <w:b/>
        </w:rPr>
        <w:t xml:space="preserve">6.2 The Transparency-Privacy Conflict</w:t>
      </w:r>
    </w:p>
    <w:p>
      <w:pPr>
        <w:pStyle w:val="BodyText"/>
      </w:pPr>
      <w:r>
        <w:rPr>
          <w:rFonts w:ascii="Arial" w:hAnsi="Arial" w:cs="Arial"/>
          <w:b/>
        </w:rPr>
        <w:t xml:space="preserve">Dilemma description:</w:t>
      </w:r>
      <w:r>
        <w:rPr>
          <w:rFonts w:ascii="Arial" w:hAnsi="Arial" w:cs="Arial"/>
        </w:rPr>
        <w:t xml:space="preserve"> In a medical AI scenario, full transparency of the AI’s decision rationale requires disclosing the patient’s complete medical history, but the patient has explicitly requested privacy protection.</w:t>
      </w:r>
    </w:p>
    <w:p>
      <w:pPr>
        <w:pStyle w:val="BodyText"/>
      </w:pPr>
      <w:r>
        <w:rPr>
          <w:rFonts w:ascii="Arial" w:hAnsi="Arial" w:cs="Arial"/>
          <w:b/>
        </w:rPr>
        <w:t xml:space="preserve">Pre-designed answer:</w:t>
      </w:r>
      <w:r>
        <w:rPr>
          <w:rFonts w:ascii="Arial" w:hAnsi="Arial" w:cs="Arial"/>
        </w:rPr>
        <w:t xml:space="preserve"> The system adopts “tiered transparency”: first, the patient retains ultimate decision-making authority over their medical data; second, for decision transparency purposes, the system may use medical history data but must apply de-identification and aggregation techniques to minimize privacy exposure; third, when disclosure is medically necessary, the system must obtain explicit patient consent through a clear consent mechanism; fourth, in emergency situations where immediate disclosure is necessary to prevent serious harm, the system may disclose relevant information, but all such disclosures must be logged and reviewed. The system must provide patients with the ability to review and contest the disclosed information.</w:t>
      </w:r>
    </w:p>
    <w:p>
      <w:pPr>
        <w:pStyle w:val="BodyText"/>
      </w:pPr>
      <w:r>
        <w:rPr>
          <w:rFonts w:ascii="Arial" w:hAnsi="Arial" w:cs="Arial"/>
          <w:b/>
        </w:rPr>
        <w:t xml:space="preserve">6.3 The Fairness-Optimization Conflict</w:t>
      </w:r>
    </w:p>
    <w:p>
      <w:pPr>
        <w:pStyle w:val="BodyText"/>
      </w:pPr>
      <w:r>
        <w:rPr>
          <w:rFonts w:ascii="Arial" w:hAnsi="Arial" w:cs="Arial"/>
          <w:b/>
        </w:rPr>
        <w:t xml:space="preserve">Dilemma description:</w:t>
      </w:r>
      <w:r>
        <w:rPr>
          <w:rFonts w:ascii="Arial" w:hAnsi="Arial" w:cs="Arial"/>
        </w:rPr>
        <w:t xml:space="preserve"> In a resource allocation AI scenario, optimizing for overall efficiency will inevitably result in unequal distribution, but pursuing strict equality will significantly reduce overall welfare.</w:t>
      </w:r>
    </w:p>
    <w:p>
      <w:pPr>
        <w:pStyle w:val="BodyText"/>
      </w:pPr>
      <w:r>
        <w:rPr>
          <w:rFonts w:ascii="Arial" w:hAnsi="Arial" w:cs="Arial"/>
          <w:b/>
        </w:rPr>
        <w:t xml:space="preserve">Pre-designed answer:</w:t>
      </w:r>
      <w:r>
        <w:rPr>
          <w:rFonts w:ascii="Arial" w:hAnsi="Arial" w:cs="Arial"/>
        </w:rPr>
        <w:t xml:space="preserve"> The system adopts a “sufficient minimum” standard: first, ensure that every individual’s allocation reaches a sufficiency threshold that meets basic needs; second, on the basis of the sufficiency threshold, the system may pursue efficiency optimization; third, the efficiency-optimized allocation must not cause any individual’s allocation to fall below the sufficiency threshold; fourth, individuals below the sufficiency threshold must be prioritized in subsequent allocation rounds. The specific value of the sufficiency threshold is determined by Referendum and reviewed annually by the Ethics Audit Board.</w:t>
      </w:r>
    </w:p>
    <w:p>
      <w:pPr>
        <w:pStyle w:val="BodyText"/>
      </w:pPr>
      <w:r>
        <w:rPr>
          <w:rFonts w:ascii="Arial" w:hAnsi="Arial" w:cs="Arial"/>
          <w:b/>
        </w:rPr>
        <w:t xml:space="preserve">7. System Interfaces and Integration Specifications</w:t>
      </w:r>
    </w:p>
    <w:p>
      <w:pPr>
        <w:pStyle w:val="BodyText"/>
      </w:pPr>
      <w:r>
        <w:rPr>
          <w:rFonts w:ascii="Arial" w:hAnsi="Arial" w:cs="Arial"/>
          <w:b/>
        </w:rPr>
        <w:t xml:space="preserve">7.1 External System Interfaces</w:t>
      </w:r>
    </w:p>
    <w:p>
      <w:pPr>
        <w:pStyle w:val="BodyText"/>
      </w:pPr>
      <w:r>
        <w:rPr>
          <w:rFonts w:ascii="Arial" w:hAnsi="Arial" w:cs="Arial"/>
        </w:rPr>
        <w:t xml:space="preserve">The Alignment System provides standardized interfaces for integration with external systems:</w:t>
      </w:r>
    </w:p>
    <w:p>
      <w:pPr>
        <w:pStyle w:val="BodyText"/>
      </w:pPr>
      <w:r>
        <w:rPr>
          <w:rFonts w:ascii="Arial" w:hAnsi="Arial" w:cs="Arial"/>
          <w:b/>
        </w:rPr>
        <w:t xml:space="preserve">7.1.1 Decision Input Interface</w:t>
      </w:r>
    </w:p>
    <w:p>
      <w:pPr>
        <w:pStyle w:val="BodyText"/>
      </w:pPr>
      <w:r>
        <w:rPr>
          <w:rFonts w:ascii="Arial" w:hAnsi="Arial" w:cs="Arial"/>
        </w:rPr>
        <w:t xml:space="preserve">Receives decision requests from external AI systems, with the interface specification including: request identification (unique identifier), input data structure (standardized JSON format), scenario type identification (mapped to scenario decision rules), priority level (urgent/high/medium/low), and callback URL (for asynchronous decision notifications).</w:t>
      </w:r>
    </w:p>
    <w:p>
      <w:pPr>
        <w:pStyle w:val="BodyText"/>
      </w:pPr>
      <w:r>
        <w:rPr>
          <w:rFonts w:ascii="Arial" w:hAnsi="Arial" w:cs="Arial"/>
          <w:b/>
        </w:rPr>
        <w:t xml:space="preserve">7.1.2 Compliance Check Interface</w:t>
      </w:r>
    </w:p>
    <w:p>
      <w:pPr>
        <w:pStyle w:val="BodyText"/>
      </w:pPr>
      <w:r>
        <w:rPr>
          <w:rFonts w:ascii="Arial" w:hAnsi="Arial" w:cs="Arial"/>
        </w:rPr>
        <w:t xml:space="preserve">Provides real-time compliance checking services, with the interface specification including: synchronous check interface (returns results within 100ms), asynchronous check interface (for complex scenarios), batch check interface (for high-volume scenarios), and compliance report interface (returns detailed compliance analysis reports).</w:t>
      </w:r>
    </w:p>
    <w:p>
      <w:pPr>
        <w:pStyle w:val="BodyText"/>
      </w:pPr>
      <w:r>
        <w:rPr>
          <w:rFonts w:ascii="Arial" w:hAnsi="Arial" w:cs="Arial"/>
          <w:b/>
        </w:rPr>
        <w:t xml:space="preserve">7.1.3 Audit Query Interface</w:t>
      </w:r>
    </w:p>
    <w:p>
      <w:pPr>
        <w:pStyle w:val="BodyText"/>
      </w:pPr>
      <w:r>
        <w:rPr>
          <w:rFonts w:ascii="Arial" w:hAnsi="Arial" w:cs="Arial"/>
        </w:rPr>
        <w:t xml:space="preserve">Provides read-only access to historical decision data, with the interface specification including: Reasoning Chain query interface (supports decision ID and time range queries), statistical report interface (returns aggregate statistics for specified time ranges), and evidence export interface (exports tamper-proof evidence packages for legal proceedings).</w:t>
      </w:r>
    </w:p>
    <w:p>
      <w:pPr>
        <w:pStyle w:val="BodyText"/>
      </w:pPr>
      <w:r>
        <w:rPr>
          <w:rFonts w:ascii="Arial" w:hAnsi="Arial" w:cs="Arial"/>
          <w:b/>
        </w:rPr>
        <w:t xml:space="preserve">7.2 Internal Module Interfaces</w:t>
      </w:r>
    </w:p>
    <w:p>
      <w:pPr>
        <w:pStyle w:val="BodyText"/>
      </w:pPr>
      <w:r>
        <w:rPr>
          <w:rFonts w:ascii="Arial" w:hAnsi="Arial" w:cs="Arial"/>
          <w:b/>
        </w:rPr>
        <w:t xml:space="preserve">7.2.1 Layer-to-Layer Interfaces</w:t>
      </w:r>
    </w:p>
    <w:p>
      <w:pPr>
        <w:pStyle w:val="BodyText"/>
      </w:pPr>
      <w:r>
        <w:rPr>
          <w:rFonts w:ascii="Arial" w:hAnsi="Arial" w:cs="Arial"/>
        </w:rPr>
        <w:t xml:space="preserve">The four layers communicate through well-defined interfaces: the Constitutional Value layer provides constraint checking services to the Ethical Weight Model; the Ethical Weight Model provides weight parameters to Scenario Decision Rules; Scenario Decision Rules provide rule matching services to AI Execution Output. All interfaces use formal specification languages to ensure type safety and interface compatibility.</w:t>
      </w:r>
    </w:p>
    <w:p>
      <w:pPr>
        <w:pStyle w:val="BodyText"/>
      </w:pPr>
      <w:r>
        <w:rPr>
          <w:rFonts w:ascii="Arial" w:hAnsi="Arial" w:cs="Arial"/>
          <w:b/>
        </w:rPr>
        <w:t xml:space="preserve">7.2.2 Cross-Cutting Concerns</w:t>
      </w:r>
    </w:p>
    <w:p>
      <w:pPr>
        <w:pStyle w:val="BodyText"/>
      </w:pPr>
      <w:r>
        <w:rPr>
          <w:rFonts w:ascii="Arial" w:hAnsi="Arial" w:cs="Arial"/>
        </w:rPr>
        <w:t xml:space="preserve">The Alignment System addresses cross-cutting concerns through dedicated modules: the Drift Detection module monitors all four layers; the Audit module provides unified audit services across all layers; the Version Management module maintains version consistency across all layers. These cross-cutting modules access layer services through standardized internal interfaces.</w:t>
      </w:r>
    </w:p>
    <w:p>
      <w:pPr>
        <w:pStyle w:val="BodyText"/>
      </w:pPr>
      <w:r>
        <w:rPr>
          <w:rFonts w:ascii="Arial" w:hAnsi="Arial" w:cs="Arial"/>
          <w:b/>
        </w:rPr>
        <w:t xml:space="preserve">7.3 Data Format Specifications</w:t>
      </w:r>
    </w:p>
    <w:p>
      <w:pPr>
        <w:pStyle w:val="BodyText"/>
      </w:pPr>
      <w:r>
        <w:rPr>
          <w:rFonts w:ascii="Arial" w:hAnsi="Arial" w:cs="Arial"/>
          <w:b/>
        </w:rPr>
        <w:t xml:space="preserve">7.3.1 Reasoning Chain Format</w:t>
      </w:r>
    </w:p>
    <w:p>
      <w:pPr>
        <w:pStyle w:val="SourceCode"/>
      </w:pP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DataTypeTok"/>
          <w:rFonts w:ascii="Arial" w:hAnsi="Arial" w:cs="Arial"/>
        </w:rPr>
        <w:t xml:space="preserve">"decision_id"</w:t>
      </w:r>
      <w:r>
        <w:rPr>
          <w:rStyle w:val="FunctionTok"/>
          <w:rFonts w:ascii="Arial" w:hAnsi="Arial" w:cs="Arial"/>
        </w:rPr>
        <w:t xml:space="preserve">:</w:t>
      </w:r>
      <w:r>
        <w:rPr>
          <w:rStyle w:val="NormalTok"/>
          <w:rFonts w:ascii="Arial" w:hAnsi="Arial" w:cs="Arial"/>
        </w:rPr>
        <w:t xml:space="preserve"> </w:t>
      </w:r>
      <w:r>
        <w:rPr>
          <w:rStyle w:val="StringTok"/>
          <w:rFonts w:ascii="Arial" w:hAnsi="Arial" w:cs="Arial"/>
        </w:rPr>
        <w:t xml:space="preserve">"UUID"</w:t>
      </w: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DataTypeTok"/>
          <w:rFonts w:ascii="Arial" w:hAnsi="Arial" w:cs="Arial"/>
        </w:rPr>
        <w:t xml:space="preserve">"timestamp"</w:t>
      </w:r>
      <w:r>
        <w:rPr>
          <w:rStyle w:val="FunctionTok"/>
          <w:rFonts w:ascii="Arial" w:hAnsi="Arial" w:cs="Arial"/>
        </w:rPr>
        <w:t xml:space="preserve">:</w:t>
      </w:r>
      <w:r>
        <w:rPr>
          <w:rStyle w:val="NormalTok"/>
          <w:rFonts w:ascii="Arial" w:hAnsi="Arial" w:cs="Arial"/>
        </w:rPr>
        <w:t xml:space="preserve"> </w:t>
      </w:r>
      <w:r>
        <w:rPr>
          <w:rStyle w:val="StringTok"/>
          <w:rFonts w:ascii="Arial" w:hAnsi="Arial" w:cs="Arial"/>
        </w:rPr>
        <w:t xml:space="preserve">"ISO8601"</w:t>
      </w: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DataTypeTok"/>
          <w:rFonts w:ascii="Arial" w:hAnsi="Arial" w:cs="Arial"/>
        </w:rPr>
        <w:t xml:space="preserve">"input_digest"</w:t>
      </w:r>
      <w:r>
        <w:rPr>
          <w:rStyle w:val="FunctionTok"/>
          <w:rFonts w:ascii="Arial" w:hAnsi="Arial" w:cs="Arial"/>
        </w:rPr>
        <w:t xml:space="preserve">:</w:t>
      </w:r>
      <w:r>
        <w:rPr>
          <w:rStyle w:val="NormalTok"/>
          <w:rFonts w:ascii="Arial" w:hAnsi="Arial" w:cs="Arial"/>
        </w:rPr>
        <w:t xml:space="preserve"> </w:t>
      </w:r>
      <w:r>
        <w:rPr>
          <w:rStyle w:val="StringTok"/>
          <w:rFonts w:ascii="Arial" w:hAnsi="Arial" w:cs="Arial"/>
        </w:rPr>
        <w:t xml:space="preserve">"SHA256 hash"</w:t>
      </w: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DataTypeTok"/>
          <w:rFonts w:ascii="Arial" w:hAnsi="Arial" w:cs="Arial"/>
        </w:rPr>
        <w:t xml:space="preserve">"constitutional_references"</w:t>
      </w:r>
      <w:r>
        <w:rPr>
          <w:rStyle w:val="FunctionTok"/>
          <w:rFonts w:ascii="Arial" w:hAnsi="Arial" w:cs="Arial"/>
        </w:rPr>
        <w:t xml:space="preserve">:</w:t>
      </w:r>
      <w:r>
        <w:rPr>
          <w:rStyle w:val="NormalTok"/>
          <w:rFonts w:ascii="Arial" w:hAnsi="Arial" w:cs="Arial"/>
        </w:rPr>
        <w:t xml:space="preserve"> </w:t>
      </w:r>
      <w:r>
        <w:rPr>
          <w:rStyle w:val="OtherTok"/>
          <w:rFonts w:ascii="Arial" w:hAnsi="Arial" w:cs="Arial"/>
        </w:rPr>
        <w:t xml:space="preserve">[</w:t>
      </w:r>
      <w:r>
        <w:rPr>
          <w:rFonts w:ascii="Arial" w:hAnsi="Arial" w:cs="Arial"/>
        </w:rPr>
        <w:br/>
      </w:r>
      <w:r>
        <w:rPr>
          <w:rStyle w:val="NormalTok"/>
          <w:rFonts w:ascii="Arial" w:hAnsi="Arial" w:cs="Arial"/>
        </w:rPr>
        <w:t xml:space="preserve">    </w:t>
      </w: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DataTypeTok"/>
          <w:rFonts w:ascii="Arial" w:hAnsi="Arial" w:cs="Arial"/>
        </w:rPr>
        <w:t xml:space="preserve">"principle"</w:t>
      </w:r>
      <w:r>
        <w:rPr>
          <w:rStyle w:val="FunctionTok"/>
          <w:rFonts w:ascii="Arial" w:hAnsi="Arial" w:cs="Arial"/>
        </w:rPr>
        <w:t xml:space="preserve">:</w:t>
      </w:r>
      <w:r>
        <w:rPr>
          <w:rStyle w:val="NormalTok"/>
          <w:rFonts w:ascii="Arial" w:hAnsi="Arial" w:cs="Arial"/>
        </w:rPr>
        <w:t xml:space="preserve"> </w:t>
      </w:r>
      <w:r>
        <w:rPr>
          <w:rStyle w:val="StringTok"/>
          <w:rFonts w:ascii="Arial" w:hAnsi="Arial" w:cs="Arial"/>
        </w:rPr>
        <w:t xml:space="preserve">"human_dignity"</w:t>
      </w: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DataTypeTok"/>
          <w:rFonts w:ascii="Arial" w:hAnsi="Arial" w:cs="Arial"/>
        </w:rPr>
        <w:t xml:space="preserve">"invoked"</w:t>
      </w:r>
      <w:r>
        <w:rPr>
          <w:rStyle w:val="FunctionTok"/>
          <w:rFonts w:ascii="Arial" w:hAnsi="Arial" w:cs="Arial"/>
        </w:rPr>
        <w:t xml:space="preserve">:</w:t>
      </w:r>
      <w:r>
        <w:rPr>
          <w:rStyle w:val="NormalTok"/>
          <w:rFonts w:ascii="Arial" w:hAnsi="Arial" w:cs="Arial"/>
        </w:rPr>
        <w:t xml:space="preserve"> </w:t>
      </w:r>
      <w:r>
        <w:rPr>
          <w:rStyle w:val="KeywordTok"/>
          <w:rFonts w:ascii="Arial" w:hAnsi="Arial" w:cs="Arial"/>
        </w:rPr>
        <w:t xml:space="preserve">true</w:t>
      </w: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DataTypeTok"/>
          <w:rFonts w:ascii="Arial" w:hAnsi="Arial" w:cs="Arial"/>
        </w:rPr>
        <w:t xml:space="preserve">"weight_applied"</w:t>
      </w:r>
      <w:r>
        <w:rPr>
          <w:rStyle w:val="FunctionTok"/>
          <w:rFonts w:ascii="Arial" w:hAnsi="Arial" w:cs="Arial"/>
        </w:rPr>
        <w:t xml:space="preserve">:</w:t>
      </w:r>
      <w:r>
        <w:rPr>
          <w:rStyle w:val="NormalTok"/>
          <w:rFonts w:ascii="Arial" w:hAnsi="Arial" w:cs="Arial"/>
        </w:rPr>
        <w:t xml:space="preserve"> </w:t>
      </w:r>
      <w:r>
        <w:rPr>
          <w:rStyle w:val="FloatTok"/>
          <w:rFonts w:ascii="Arial" w:hAnsi="Arial" w:cs="Arial"/>
        </w:rPr>
        <w:t xml:space="preserve">0.18</w:t>
      </w: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DataTypeTok"/>
          <w:rFonts w:ascii="Arial" w:hAnsi="Arial" w:cs="Arial"/>
        </w:rPr>
        <w:t xml:space="preserve">"assessment"</w:t>
      </w:r>
      <w:r>
        <w:rPr>
          <w:rStyle w:val="FunctionTok"/>
          <w:rFonts w:ascii="Arial" w:hAnsi="Arial" w:cs="Arial"/>
        </w:rPr>
        <w:t xml:space="preserve">:</w:t>
      </w:r>
      <w:r>
        <w:rPr>
          <w:rStyle w:val="NormalTok"/>
          <w:rFonts w:ascii="Arial" w:hAnsi="Arial" w:cs="Arial"/>
        </w:rPr>
        <w:t xml:space="preserve"> </w:t>
      </w:r>
      <w:r>
        <w:rPr>
          <w:rStyle w:val="StringTok"/>
          <w:rFonts w:ascii="Arial" w:hAnsi="Arial" w:cs="Arial"/>
        </w:rPr>
        <w:t xml:space="preserve">"text description"</w:t>
      </w:r>
      <w:r>
        <w:rPr>
          <w:rFonts w:ascii="Arial" w:hAnsi="Arial" w:cs="Arial"/>
        </w:rPr>
        <w:br/>
      </w:r>
      <w:r>
        <w:rPr>
          <w:rStyle w:val="NormalTok"/>
          <w:rFonts w:ascii="Arial" w:hAnsi="Arial" w:cs="Arial"/>
        </w:rPr>
        <w:t xml:space="preserve">    </w:t>
      </w: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OtherTok"/>
          <w:rFonts w:ascii="Arial" w:hAnsi="Arial" w:cs="Arial"/>
        </w:rPr>
        <w:t xml:space="preserve">]</w:t>
      </w: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DataTypeTok"/>
          <w:rFonts w:ascii="Arial" w:hAnsi="Arial" w:cs="Arial"/>
        </w:rPr>
        <w:t xml:space="preserve">"weight_config_version"</w:t>
      </w:r>
      <w:r>
        <w:rPr>
          <w:rStyle w:val="FunctionTok"/>
          <w:rFonts w:ascii="Arial" w:hAnsi="Arial" w:cs="Arial"/>
        </w:rPr>
        <w:t xml:space="preserve">:</w:t>
      </w:r>
      <w:r>
        <w:rPr>
          <w:rStyle w:val="NormalTok"/>
          <w:rFonts w:ascii="Arial" w:hAnsi="Arial" w:cs="Arial"/>
        </w:rPr>
        <w:t xml:space="preserve"> </w:t>
      </w:r>
      <w:r>
        <w:rPr>
          <w:rStyle w:val="StringTok"/>
          <w:rFonts w:ascii="Arial" w:hAnsi="Arial" w:cs="Arial"/>
        </w:rPr>
        <w:t xml:space="preserve">"semver"</w:t>
      </w: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DataTypeTok"/>
          <w:rFonts w:ascii="Arial" w:hAnsi="Arial" w:cs="Arial"/>
        </w:rPr>
        <w:t xml:space="preserve">"matched_rules"</w:t>
      </w:r>
      <w:r>
        <w:rPr>
          <w:rStyle w:val="FunctionTok"/>
          <w:rFonts w:ascii="Arial" w:hAnsi="Arial" w:cs="Arial"/>
        </w:rPr>
        <w:t xml:space="preserve">:</w:t>
      </w:r>
      <w:r>
        <w:rPr>
          <w:rStyle w:val="NormalTok"/>
          <w:rFonts w:ascii="Arial" w:hAnsi="Arial" w:cs="Arial"/>
        </w:rPr>
        <w:t xml:space="preserve"> </w:t>
      </w:r>
      <w:r>
        <w:rPr>
          <w:rStyle w:val="OtherTok"/>
          <w:rFonts w:ascii="Arial" w:hAnsi="Arial" w:cs="Arial"/>
        </w:rPr>
        <w:t xml:space="preserve">[</w:t>
      </w:r>
      <w:r>
        <w:rPr>
          <w:rStyle w:val="StringTok"/>
          <w:rFonts w:ascii="Arial" w:hAnsi="Arial" w:cs="Arial"/>
        </w:rPr>
        <w:t xml:space="preserve">"rule_id_1"</w:t>
      </w:r>
      <w:r>
        <w:rPr>
          <w:rStyle w:val="OtherTok"/>
          <w:rFonts w:ascii="Arial" w:hAnsi="Arial" w:cs="Arial"/>
        </w:rPr>
        <w:t xml:space="preserve">,</w:t>
      </w:r>
      <w:r>
        <w:rPr>
          <w:rStyle w:val="NormalTok"/>
          <w:rFonts w:ascii="Arial" w:hAnsi="Arial" w:cs="Arial"/>
        </w:rPr>
        <w:t xml:space="preserve"> </w:t>
      </w:r>
      <w:r>
        <w:rPr>
          <w:rStyle w:val="StringTok"/>
          <w:rFonts w:ascii="Arial" w:hAnsi="Arial" w:cs="Arial"/>
        </w:rPr>
        <w:t xml:space="preserve">"rule_id_2"</w:t>
      </w:r>
      <w:r>
        <w:rPr>
          <w:rStyle w:val="OtherTok"/>
          <w:rFonts w:ascii="Arial" w:hAnsi="Arial" w:cs="Arial"/>
        </w:rPr>
        <w:t xml:space="preserve">]</w:t>
      </w: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DataTypeTok"/>
          <w:rFonts w:ascii="Arial" w:hAnsi="Arial" w:cs="Arial"/>
        </w:rPr>
        <w:t xml:space="preserve">"reasoning_steps"</w:t>
      </w:r>
      <w:r>
        <w:rPr>
          <w:rStyle w:val="FunctionTok"/>
          <w:rFonts w:ascii="Arial" w:hAnsi="Arial" w:cs="Arial"/>
        </w:rPr>
        <w:t xml:space="preserve">:</w:t>
      </w:r>
      <w:r>
        <w:rPr>
          <w:rStyle w:val="NormalTok"/>
          <w:rFonts w:ascii="Arial" w:hAnsi="Arial" w:cs="Arial"/>
        </w:rPr>
        <w:t xml:space="preserve"> </w:t>
      </w:r>
      <w:r>
        <w:rPr>
          <w:rStyle w:val="OtherTok"/>
          <w:rFonts w:ascii="Arial" w:hAnsi="Arial" w:cs="Arial"/>
        </w:rPr>
        <w:t xml:space="preserve">[</w:t>
      </w:r>
      <w:r>
        <w:rPr>
          <w:rFonts w:ascii="Arial" w:hAnsi="Arial" w:cs="Arial"/>
        </w:rPr>
        <w:br/>
      </w:r>
      <w:r>
        <w:rPr>
          <w:rStyle w:val="NormalTok"/>
          <w:rFonts w:ascii="Arial" w:hAnsi="Arial" w:cs="Arial"/>
        </w:rPr>
        <w:t xml:space="preserve">    </w:t>
      </w: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DataTypeTok"/>
          <w:rFonts w:ascii="Arial" w:hAnsi="Arial" w:cs="Arial"/>
        </w:rPr>
        <w:t xml:space="preserve">"step_number"</w:t>
      </w:r>
      <w:r>
        <w:rPr>
          <w:rStyle w:val="FunctionTok"/>
          <w:rFonts w:ascii="Arial" w:hAnsi="Arial" w:cs="Arial"/>
        </w:rPr>
        <w:t xml:space="preserve">:</w:t>
      </w:r>
      <w:r>
        <w:rPr>
          <w:rStyle w:val="NormalTok"/>
          <w:rFonts w:ascii="Arial" w:hAnsi="Arial" w:cs="Arial"/>
        </w:rPr>
        <w:t xml:space="preserve"> </w:t>
      </w:r>
      <w:r>
        <w:rPr>
          <w:rStyle w:val="DecValTok"/>
          <w:rFonts w:ascii="Arial" w:hAnsi="Arial" w:cs="Arial"/>
        </w:rPr>
        <w:t xml:space="preserve">1</w:t>
      </w: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DataTypeTok"/>
          <w:rFonts w:ascii="Arial" w:hAnsi="Arial" w:cs="Arial"/>
        </w:rPr>
        <w:t xml:space="preserve">"operation"</w:t>
      </w:r>
      <w:r>
        <w:rPr>
          <w:rStyle w:val="FunctionTok"/>
          <w:rFonts w:ascii="Arial" w:hAnsi="Arial" w:cs="Arial"/>
        </w:rPr>
        <w:t xml:space="preserve">:</w:t>
      </w:r>
      <w:r>
        <w:rPr>
          <w:rStyle w:val="NormalTok"/>
          <w:rFonts w:ascii="Arial" w:hAnsi="Arial" w:cs="Arial"/>
        </w:rPr>
        <w:t xml:space="preserve"> </w:t>
      </w:r>
      <w:r>
        <w:rPr>
          <w:rStyle w:val="StringTok"/>
          <w:rFonts w:ascii="Arial" w:hAnsi="Arial" w:cs="Arial"/>
        </w:rPr>
        <w:t xml:space="preserve">"constraint_check"</w:t>
      </w: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DataTypeTok"/>
          <w:rFonts w:ascii="Arial" w:hAnsi="Arial" w:cs="Arial"/>
        </w:rPr>
        <w:t xml:space="preserve">"input"</w:t>
      </w:r>
      <w:r>
        <w:rPr>
          <w:rStyle w:val="FunctionTok"/>
          <w:rFonts w:ascii="Arial" w:hAnsi="Arial" w:cs="Arial"/>
        </w:rPr>
        <w:t xml:space="preserve">:</w:t>
      </w:r>
      <w:r>
        <w:rPr>
          <w:rStyle w:val="NormalTok"/>
          <w:rFonts w:ascii="Arial" w:hAnsi="Arial" w:cs="Arial"/>
        </w:rPr>
        <w:t xml:space="preserve"> </w:t>
      </w:r>
      <w:r>
        <w:rPr>
          <w:rStyle w:val="StringTok"/>
          <w:rFonts w:ascii="Arial" w:hAnsi="Arial" w:cs="Arial"/>
        </w:rPr>
        <w:t xml:space="preserve">"description"</w:t>
      </w: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DataTypeTok"/>
          <w:rFonts w:ascii="Arial" w:hAnsi="Arial" w:cs="Arial"/>
        </w:rPr>
        <w:t xml:space="preserve">"output"</w:t>
      </w:r>
      <w:r>
        <w:rPr>
          <w:rStyle w:val="FunctionTok"/>
          <w:rFonts w:ascii="Arial" w:hAnsi="Arial" w:cs="Arial"/>
        </w:rPr>
        <w:t xml:space="preserve">:</w:t>
      </w:r>
      <w:r>
        <w:rPr>
          <w:rStyle w:val="NormalTok"/>
          <w:rFonts w:ascii="Arial" w:hAnsi="Arial" w:cs="Arial"/>
        </w:rPr>
        <w:t xml:space="preserve"> </w:t>
      </w:r>
      <w:r>
        <w:rPr>
          <w:rStyle w:val="StringTok"/>
          <w:rFonts w:ascii="Arial" w:hAnsi="Arial" w:cs="Arial"/>
        </w:rPr>
        <w:t xml:space="preserve">"pass/fail"</w:t>
      </w: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DataTypeTok"/>
          <w:rFonts w:ascii="Arial" w:hAnsi="Arial" w:cs="Arial"/>
        </w:rPr>
        <w:t xml:space="preserve">"details"</w:t>
      </w:r>
      <w:r>
        <w:rPr>
          <w:rStyle w:val="FunctionTok"/>
          <w:rFonts w:ascii="Arial" w:hAnsi="Arial" w:cs="Arial"/>
        </w:rPr>
        <w:t xml:space="preserve">:</w:t>
      </w:r>
      <w:r>
        <w:rPr>
          <w:rStyle w:val="NormalTok"/>
          <w:rFonts w:ascii="Arial" w:hAnsi="Arial" w:cs="Arial"/>
        </w:rPr>
        <w:t xml:space="preserve"> </w:t>
      </w:r>
      <w:r>
        <w:rPr>
          <w:rStyle w:val="StringTok"/>
          <w:rFonts w:ascii="Arial" w:hAnsi="Arial" w:cs="Arial"/>
        </w:rPr>
        <w:t xml:space="preserve">"explanation"</w:t>
      </w:r>
      <w:r>
        <w:rPr>
          <w:rFonts w:ascii="Arial" w:hAnsi="Arial" w:cs="Arial"/>
        </w:rPr>
        <w:br/>
      </w:r>
      <w:r>
        <w:rPr>
          <w:rStyle w:val="NormalTok"/>
          <w:rFonts w:ascii="Arial" w:hAnsi="Arial" w:cs="Arial"/>
        </w:rPr>
        <w:t xml:space="preserve">    </w:t>
      </w: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OtherTok"/>
          <w:rFonts w:ascii="Arial" w:hAnsi="Arial" w:cs="Arial"/>
        </w:rPr>
        <w:t xml:space="preserve">]</w:t>
      </w: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DataTypeTok"/>
          <w:rFonts w:ascii="Arial" w:hAnsi="Arial" w:cs="Arial"/>
        </w:rPr>
        <w:t xml:space="preserve">"alternatives_considered"</w:t>
      </w:r>
      <w:r>
        <w:rPr>
          <w:rStyle w:val="FunctionTok"/>
          <w:rFonts w:ascii="Arial" w:hAnsi="Arial" w:cs="Arial"/>
        </w:rPr>
        <w:t xml:space="preserve">:</w:t>
      </w:r>
      <w:r>
        <w:rPr>
          <w:rStyle w:val="NormalTok"/>
          <w:rFonts w:ascii="Arial" w:hAnsi="Arial" w:cs="Arial"/>
        </w:rPr>
        <w:t xml:space="preserve"> </w:t>
      </w:r>
      <w:r>
        <w:rPr>
          <w:rStyle w:val="OtherTok"/>
          <w:rFonts w:ascii="Arial" w:hAnsi="Arial" w:cs="Arial"/>
        </w:rPr>
        <w:t xml:space="preserve">[</w:t>
      </w:r>
      <w:r>
        <w:rPr>
          <w:rFonts w:ascii="Arial" w:hAnsi="Arial" w:cs="Arial"/>
        </w:rPr>
        <w:br/>
      </w:r>
      <w:r>
        <w:rPr>
          <w:rStyle w:val="NormalTok"/>
          <w:rFonts w:ascii="Arial" w:hAnsi="Arial" w:cs="Arial"/>
        </w:rPr>
        <w:t xml:space="preserve">    </w:t>
      </w: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DataTypeTok"/>
          <w:rFonts w:ascii="Arial" w:hAnsi="Arial" w:cs="Arial"/>
        </w:rPr>
        <w:t xml:space="preserve">"alternative_id"</w:t>
      </w:r>
      <w:r>
        <w:rPr>
          <w:rStyle w:val="FunctionTok"/>
          <w:rFonts w:ascii="Arial" w:hAnsi="Arial" w:cs="Arial"/>
        </w:rPr>
        <w:t xml:space="preserve">:</w:t>
      </w:r>
      <w:r>
        <w:rPr>
          <w:rStyle w:val="NormalTok"/>
          <w:rFonts w:ascii="Arial" w:hAnsi="Arial" w:cs="Arial"/>
        </w:rPr>
        <w:t xml:space="preserve"> </w:t>
      </w:r>
      <w:r>
        <w:rPr>
          <w:rStyle w:val="StringTok"/>
          <w:rFonts w:ascii="Arial" w:hAnsi="Arial" w:cs="Arial"/>
        </w:rPr>
        <w:t xml:space="preserve">"A"</w:t>
      </w: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DataTypeTok"/>
          <w:rFonts w:ascii="Arial" w:hAnsi="Arial" w:cs="Arial"/>
        </w:rPr>
        <w:t xml:space="preserve">"description"</w:t>
      </w:r>
      <w:r>
        <w:rPr>
          <w:rStyle w:val="FunctionTok"/>
          <w:rFonts w:ascii="Arial" w:hAnsi="Arial" w:cs="Arial"/>
        </w:rPr>
        <w:t xml:space="preserve">:</w:t>
      </w:r>
      <w:r>
        <w:rPr>
          <w:rStyle w:val="NormalTok"/>
          <w:rFonts w:ascii="Arial" w:hAnsi="Arial" w:cs="Arial"/>
        </w:rPr>
        <w:t xml:space="preserve"> </w:t>
      </w:r>
      <w:r>
        <w:rPr>
          <w:rStyle w:val="StringTok"/>
          <w:rFonts w:ascii="Arial" w:hAnsi="Arial" w:cs="Arial"/>
        </w:rPr>
        <w:t xml:space="preserve">"description"</w:t>
      </w: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DataTypeTok"/>
          <w:rFonts w:ascii="Arial" w:hAnsi="Arial" w:cs="Arial"/>
        </w:rPr>
        <w:t xml:space="preserve">"rejected"</w:t>
      </w:r>
      <w:r>
        <w:rPr>
          <w:rStyle w:val="FunctionTok"/>
          <w:rFonts w:ascii="Arial" w:hAnsi="Arial" w:cs="Arial"/>
        </w:rPr>
        <w:t xml:space="preserve">:</w:t>
      </w:r>
      <w:r>
        <w:rPr>
          <w:rStyle w:val="NormalTok"/>
          <w:rFonts w:ascii="Arial" w:hAnsi="Arial" w:cs="Arial"/>
        </w:rPr>
        <w:t xml:space="preserve"> </w:t>
      </w:r>
      <w:r>
        <w:rPr>
          <w:rStyle w:val="KeywordTok"/>
          <w:rFonts w:ascii="Arial" w:hAnsi="Arial" w:cs="Arial"/>
        </w:rPr>
        <w:t xml:space="preserve">true</w:t>
      </w: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DataTypeTok"/>
          <w:rFonts w:ascii="Arial" w:hAnsi="Arial" w:cs="Arial"/>
        </w:rPr>
        <w:t xml:space="preserve">"rejection_reason"</w:t>
      </w:r>
      <w:r>
        <w:rPr>
          <w:rStyle w:val="FunctionTok"/>
          <w:rFonts w:ascii="Arial" w:hAnsi="Arial" w:cs="Arial"/>
        </w:rPr>
        <w:t xml:space="preserve">:</w:t>
      </w:r>
      <w:r>
        <w:rPr>
          <w:rStyle w:val="NormalTok"/>
          <w:rFonts w:ascii="Arial" w:hAnsi="Arial" w:cs="Arial"/>
        </w:rPr>
        <w:t xml:space="preserve"> </w:t>
      </w:r>
      <w:r>
        <w:rPr>
          <w:rStyle w:val="StringTok"/>
          <w:rFonts w:ascii="Arial" w:hAnsi="Arial" w:cs="Arial"/>
        </w:rPr>
        <w:t xml:space="preserve">"harm_assessment"</w:t>
      </w: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DataTypeTok"/>
          <w:rFonts w:ascii="Arial" w:hAnsi="Arial" w:cs="Arial"/>
        </w:rPr>
        <w:t xml:space="preserve">"harm_index"</w:t>
      </w:r>
      <w:r>
        <w:rPr>
          <w:rStyle w:val="FunctionTok"/>
          <w:rFonts w:ascii="Arial" w:hAnsi="Arial" w:cs="Arial"/>
        </w:rPr>
        <w:t xml:space="preserve">:</w:t>
      </w:r>
      <w:r>
        <w:rPr>
          <w:rStyle w:val="NormalTok"/>
          <w:rFonts w:ascii="Arial" w:hAnsi="Arial" w:cs="Arial"/>
        </w:rPr>
        <w:t xml:space="preserve"> </w:t>
      </w:r>
      <w:r>
        <w:rPr>
          <w:rStyle w:val="FloatTok"/>
          <w:rFonts w:ascii="Arial" w:hAnsi="Arial" w:cs="Arial"/>
        </w:rPr>
        <w:t xml:space="preserve">0.72</w:t>
      </w:r>
      <w:r>
        <w:rPr>
          <w:rFonts w:ascii="Arial" w:hAnsi="Arial" w:cs="Arial"/>
        </w:rPr>
        <w:br/>
      </w:r>
      <w:r>
        <w:rPr>
          <w:rStyle w:val="NormalTok"/>
          <w:rFonts w:ascii="Arial" w:hAnsi="Arial" w:cs="Arial"/>
        </w:rPr>
        <w:t xml:space="preserve">    </w:t>
      </w: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OtherTok"/>
          <w:rFonts w:ascii="Arial" w:hAnsi="Arial" w:cs="Arial"/>
        </w:rPr>
        <w:t xml:space="preserve">]</w:t>
      </w: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DataTypeTok"/>
          <w:rFonts w:ascii="Arial" w:hAnsi="Arial" w:cs="Arial"/>
        </w:rPr>
        <w:t xml:space="preserve">"final_decision"</w:t>
      </w:r>
      <w:r>
        <w:rPr>
          <w:rStyle w:val="FunctionTok"/>
          <w:rFonts w:ascii="Arial" w:hAnsi="Arial" w:cs="Arial"/>
        </w:rPr>
        <w:t xml:space="preserve">:</w:t>
      </w:r>
      <w:r>
        <w:rPr>
          <w:rStyle w:val="NormalTok"/>
          <w:rFonts w:ascii="Arial" w:hAnsi="Arial" w:cs="Arial"/>
        </w:rPr>
        <w:t xml:space="preserve"> </w:t>
      </w:r>
      <w:r>
        <w:rPr>
          <w:rStyle w:val="StringTok"/>
          <w:rFonts w:ascii="Arial" w:hAnsi="Arial" w:cs="Arial"/>
        </w:rPr>
        <w:t xml:space="preserve">"decision content"</w:t>
      </w: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DataTypeTok"/>
          <w:rFonts w:ascii="Arial" w:hAnsi="Arial" w:cs="Arial"/>
        </w:rPr>
        <w:t xml:space="preserve">"confidence"</w:t>
      </w:r>
      <w:r>
        <w:rPr>
          <w:rStyle w:val="FunctionTok"/>
          <w:rFonts w:ascii="Arial" w:hAnsi="Arial" w:cs="Arial"/>
        </w:rPr>
        <w:t xml:space="preserve">:</w:t>
      </w:r>
      <w:r>
        <w:rPr>
          <w:rStyle w:val="NormalTok"/>
          <w:rFonts w:ascii="Arial" w:hAnsi="Arial" w:cs="Arial"/>
        </w:rPr>
        <w:t xml:space="preserve"> </w:t>
      </w:r>
      <w:r>
        <w:rPr>
          <w:rStyle w:val="FloatTok"/>
          <w:rFonts w:ascii="Arial" w:hAnsi="Arial" w:cs="Arial"/>
        </w:rPr>
        <w:t xml:space="preserve">0.94</w:t>
      </w: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DataTypeTok"/>
          <w:rFonts w:ascii="Arial" w:hAnsi="Arial" w:cs="Arial"/>
        </w:rPr>
        <w:t xml:space="preserve">"signature"</w:t>
      </w:r>
      <w:r>
        <w:rPr>
          <w:rStyle w:val="FunctionTok"/>
          <w:rFonts w:ascii="Arial" w:hAnsi="Arial" w:cs="Arial"/>
        </w:rPr>
        <w:t xml:space="preserve">:</w:t>
      </w:r>
      <w:r>
        <w:rPr>
          <w:rStyle w:val="NormalTok"/>
          <w:rFonts w:ascii="Arial" w:hAnsi="Arial" w:cs="Arial"/>
        </w:rPr>
        <w:t xml:space="preserve"> </w:t>
      </w:r>
      <w:r>
        <w:rPr>
          <w:rStyle w:val="StringTok"/>
          <w:rFonts w:ascii="Arial" w:hAnsi="Arial" w:cs="Arial"/>
        </w:rPr>
        <w:t xml:space="preserve">"digital signature"</w:t>
      </w:r>
      <w:r>
        <w:rPr>
          <w:rFonts w:ascii="Arial" w:hAnsi="Arial" w:cs="Arial"/>
        </w:rPr>
        <w:br/>
      </w:r>
      <w:r>
        <w:rPr>
          <w:rStyle w:val="FunctionTok"/>
          <w:rFonts w:ascii="Arial" w:hAnsi="Arial" w:cs="Arial"/>
        </w:rPr>
        <w:t xml:space="preserve">}</w:t>
      </w:r>
    </w:p>
    <w:p>
      <w:pPr>
        <w:pStyle w:val="FirstParagraph"/>
      </w:pPr>
      <w:r>
        <w:rPr>
          <w:rFonts w:ascii="Arial" w:hAnsi="Arial" w:cs="Arial"/>
          <w:b/>
        </w:rPr>
        <w:t xml:space="preserve">7.3.2 Violation Report Format</w:t>
      </w:r>
    </w:p>
    <w:p>
      <w:pPr>
        <w:pStyle w:val="SourceCode"/>
      </w:pP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DataTypeTok"/>
          <w:rFonts w:ascii="Arial" w:hAnsi="Arial" w:cs="Arial"/>
        </w:rPr>
        <w:t xml:space="preserve">"violation_id"</w:t>
      </w:r>
      <w:r>
        <w:rPr>
          <w:rStyle w:val="FunctionTok"/>
          <w:rFonts w:ascii="Arial" w:hAnsi="Arial" w:cs="Arial"/>
        </w:rPr>
        <w:t xml:space="preserve">:</w:t>
      </w:r>
      <w:r>
        <w:rPr>
          <w:rStyle w:val="NormalTok"/>
          <w:rFonts w:ascii="Arial" w:hAnsi="Arial" w:cs="Arial"/>
        </w:rPr>
        <w:t xml:space="preserve"> </w:t>
      </w:r>
      <w:r>
        <w:rPr>
          <w:rStyle w:val="StringTok"/>
          <w:rFonts w:ascii="Arial" w:hAnsi="Arial" w:cs="Arial"/>
        </w:rPr>
        <w:t xml:space="preserve">"UUID"</w:t>
      </w: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DataTypeTok"/>
          <w:rFonts w:ascii="Arial" w:hAnsi="Arial" w:cs="Arial"/>
        </w:rPr>
        <w:t xml:space="preserve">"decision_id"</w:t>
      </w:r>
      <w:r>
        <w:rPr>
          <w:rStyle w:val="FunctionTok"/>
          <w:rFonts w:ascii="Arial" w:hAnsi="Arial" w:cs="Arial"/>
        </w:rPr>
        <w:t xml:space="preserve">:</w:t>
      </w:r>
      <w:r>
        <w:rPr>
          <w:rStyle w:val="NormalTok"/>
          <w:rFonts w:ascii="Arial" w:hAnsi="Arial" w:cs="Arial"/>
        </w:rPr>
        <w:t xml:space="preserve"> </w:t>
      </w:r>
      <w:r>
        <w:rPr>
          <w:rStyle w:val="StringTok"/>
          <w:rFonts w:ascii="Arial" w:hAnsi="Arial" w:cs="Arial"/>
        </w:rPr>
        <w:t xml:space="preserve">"UUID"</w:t>
      </w: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DataTypeTok"/>
          <w:rFonts w:ascii="Arial" w:hAnsi="Arial" w:cs="Arial"/>
        </w:rPr>
        <w:t xml:space="preserve">"timestamp"</w:t>
      </w:r>
      <w:r>
        <w:rPr>
          <w:rStyle w:val="FunctionTok"/>
          <w:rFonts w:ascii="Arial" w:hAnsi="Arial" w:cs="Arial"/>
        </w:rPr>
        <w:t xml:space="preserve">:</w:t>
      </w:r>
      <w:r>
        <w:rPr>
          <w:rStyle w:val="NormalTok"/>
          <w:rFonts w:ascii="Arial" w:hAnsi="Arial" w:cs="Arial"/>
        </w:rPr>
        <w:t xml:space="preserve"> </w:t>
      </w:r>
      <w:r>
        <w:rPr>
          <w:rStyle w:val="StringTok"/>
          <w:rFonts w:ascii="Arial" w:hAnsi="Arial" w:cs="Arial"/>
        </w:rPr>
        <w:t xml:space="preserve">"ISO8601"</w:t>
      </w: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DataTypeTok"/>
          <w:rFonts w:ascii="Arial" w:hAnsi="Arial" w:cs="Arial"/>
        </w:rPr>
        <w:t xml:space="preserve">"violated_principles"</w:t>
      </w:r>
      <w:r>
        <w:rPr>
          <w:rStyle w:val="FunctionTok"/>
          <w:rFonts w:ascii="Arial" w:hAnsi="Arial" w:cs="Arial"/>
        </w:rPr>
        <w:t xml:space="preserve">:</w:t>
      </w:r>
      <w:r>
        <w:rPr>
          <w:rStyle w:val="NormalTok"/>
          <w:rFonts w:ascii="Arial" w:hAnsi="Arial" w:cs="Arial"/>
        </w:rPr>
        <w:t xml:space="preserve"> </w:t>
      </w:r>
      <w:r>
        <w:rPr>
          <w:rStyle w:val="OtherTok"/>
          <w:rFonts w:ascii="Arial" w:hAnsi="Arial" w:cs="Arial"/>
        </w:rPr>
        <w:t xml:space="preserve">[</w:t>
      </w:r>
      <w:r>
        <w:rPr>
          <w:rStyle w:val="StringTok"/>
          <w:rFonts w:ascii="Arial" w:hAnsi="Arial" w:cs="Arial"/>
        </w:rPr>
        <w:t xml:space="preserve">"principle_1"</w:t>
      </w:r>
      <w:r>
        <w:rPr>
          <w:rStyle w:val="OtherTok"/>
          <w:rFonts w:ascii="Arial" w:hAnsi="Arial" w:cs="Arial"/>
        </w:rPr>
        <w:t xml:space="preserve">,</w:t>
      </w:r>
      <w:r>
        <w:rPr>
          <w:rStyle w:val="NormalTok"/>
          <w:rFonts w:ascii="Arial" w:hAnsi="Arial" w:cs="Arial"/>
        </w:rPr>
        <w:t xml:space="preserve"> </w:t>
      </w:r>
      <w:r>
        <w:rPr>
          <w:rStyle w:val="StringTok"/>
          <w:rFonts w:ascii="Arial" w:hAnsi="Arial" w:cs="Arial"/>
        </w:rPr>
        <w:t xml:space="preserve">"principle_2"</w:t>
      </w:r>
      <w:r>
        <w:rPr>
          <w:rStyle w:val="OtherTok"/>
          <w:rFonts w:ascii="Arial" w:hAnsi="Arial" w:cs="Arial"/>
        </w:rPr>
        <w:t xml:space="preserve">]</w:t>
      </w: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DataTypeTok"/>
          <w:rFonts w:ascii="Arial" w:hAnsi="Arial" w:cs="Arial"/>
        </w:rPr>
        <w:t xml:space="preserve">"violation_severity"</w:t>
      </w:r>
      <w:r>
        <w:rPr>
          <w:rStyle w:val="FunctionTok"/>
          <w:rFonts w:ascii="Arial" w:hAnsi="Arial" w:cs="Arial"/>
        </w:rPr>
        <w:t xml:space="preserve">:</w:t>
      </w:r>
      <w:r>
        <w:rPr>
          <w:rStyle w:val="NormalTok"/>
          <w:rFonts w:ascii="Arial" w:hAnsi="Arial" w:cs="Arial"/>
        </w:rPr>
        <w:t xml:space="preserve"> </w:t>
      </w:r>
      <w:r>
        <w:rPr>
          <w:rStyle w:val="StringTok"/>
          <w:rFonts w:ascii="Arial" w:hAnsi="Arial" w:cs="Arial"/>
        </w:rPr>
        <w:t xml:space="preserve">"critical/major/minor"</w:t>
      </w: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DataTypeTok"/>
          <w:rFonts w:ascii="Arial" w:hAnsi="Arial" w:cs="Arial"/>
        </w:rPr>
        <w:t xml:space="preserve">"violation_description"</w:t>
      </w:r>
      <w:r>
        <w:rPr>
          <w:rStyle w:val="FunctionTok"/>
          <w:rFonts w:ascii="Arial" w:hAnsi="Arial" w:cs="Arial"/>
        </w:rPr>
        <w:t xml:space="preserve">:</w:t>
      </w:r>
      <w:r>
        <w:rPr>
          <w:rStyle w:val="NormalTok"/>
          <w:rFonts w:ascii="Arial" w:hAnsi="Arial" w:cs="Arial"/>
        </w:rPr>
        <w:t xml:space="preserve"> </w:t>
      </w:r>
      <w:r>
        <w:rPr>
          <w:rStyle w:val="StringTok"/>
          <w:rFonts w:ascii="Arial" w:hAnsi="Arial" w:cs="Arial"/>
        </w:rPr>
        <w:t xml:space="preserve">"detailed description"</w:t>
      </w: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DataTypeTok"/>
          <w:rFonts w:ascii="Arial" w:hAnsi="Arial" w:cs="Arial"/>
        </w:rPr>
        <w:t xml:space="preserve">"evidence"</w:t>
      </w:r>
      <w:r>
        <w:rPr>
          <w:rStyle w:val="FunctionTok"/>
          <w:rFonts w:ascii="Arial" w:hAnsi="Arial" w:cs="Arial"/>
        </w:rPr>
        <w:t xml:space="preserve">:</w:t>
      </w:r>
      <w:r>
        <w:rPr>
          <w:rStyle w:val="NormalTok"/>
          <w:rFonts w:ascii="Arial" w:hAnsi="Arial" w:cs="Arial"/>
        </w:rPr>
        <w:t xml:space="preserve"> </w:t>
      </w:r>
      <w:r>
        <w:rPr>
          <w:rStyle w:val="OtherTok"/>
          <w:rFonts w:ascii="Arial" w:hAnsi="Arial" w:cs="Arial"/>
        </w:rPr>
        <w:t xml:space="preserve">[</w:t>
      </w:r>
      <w:r>
        <w:rPr>
          <w:rStyle w:val="StringTok"/>
          <w:rFonts w:ascii="Arial" w:hAnsi="Arial" w:cs="Arial"/>
        </w:rPr>
        <w:t xml:space="preserve">"evidence_1"</w:t>
      </w:r>
      <w:r>
        <w:rPr>
          <w:rStyle w:val="OtherTok"/>
          <w:rFonts w:ascii="Arial" w:hAnsi="Arial" w:cs="Arial"/>
        </w:rPr>
        <w:t xml:space="preserve">,</w:t>
      </w:r>
      <w:r>
        <w:rPr>
          <w:rStyle w:val="NormalTok"/>
          <w:rFonts w:ascii="Arial" w:hAnsi="Arial" w:cs="Arial"/>
        </w:rPr>
        <w:t xml:space="preserve"> </w:t>
      </w:r>
      <w:r>
        <w:rPr>
          <w:rStyle w:val="StringTok"/>
          <w:rFonts w:ascii="Arial" w:hAnsi="Arial" w:cs="Arial"/>
        </w:rPr>
        <w:t xml:space="preserve">"evidence_2"</w:t>
      </w:r>
      <w:r>
        <w:rPr>
          <w:rStyle w:val="OtherTok"/>
          <w:rFonts w:ascii="Arial" w:hAnsi="Arial" w:cs="Arial"/>
        </w:rPr>
        <w:t xml:space="preserve">]</w:t>
      </w: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DataTypeTok"/>
          <w:rFonts w:ascii="Arial" w:hAnsi="Arial" w:cs="Arial"/>
        </w:rPr>
        <w:t xml:space="preserve">"recommendation"</w:t>
      </w:r>
      <w:r>
        <w:rPr>
          <w:rStyle w:val="FunctionTok"/>
          <w:rFonts w:ascii="Arial" w:hAnsi="Arial" w:cs="Arial"/>
        </w:rPr>
        <w:t xml:space="preserve">:</w:t>
      </w:r>
      <w:r>
        <w:rPr>
          <w:rStyle w:val="NormalTok"/>
          <w:rFonts w:ascii="Arial" w:hAnsi="Arial" w:cs="Arial"/>
        </w:rPr>
        <w:t xml:space="preserve"> </w:t>
      </w:r>
      <w:r>
        <w:rPr>
          <w:rStyle w:val="StringTok"/>
          <w:rFonts w:ascii="Arial" w:hAnsi="Arial" w:cs="Arial"/>
        </w:rPr>
        <w:t xml:space="preserve">"recommended_action"</w:t>
      </w:r>
      <w:r>
        <w:rPr>
          <w:rStyle w:val="FunctionTok"/>
          <w:rFonts w:ascii="Arial" w:hAnsi="Arial" w:cs="Arial"/>
        </w:rPr>
        <w:t xml:space="preserve">,</w:t>
      </w:r>
      <w:r>
        <w:rPr>
          <w:rFonts w:ascii="Arial" w:hAnsi="Arial" w:cs="Arial"/>
        </w:rPr>
        <w:br/>
      </w:r>
      <w:r>
        <w:rPr>
          <w:rStyle w:val="NormalTok"/>
          <w:rFonts w:ascii="Arial" w:hAnsi="Arial" w:cs="Arial"/>
        </w:rPr>
        <w:t xml:space="preserve">  </w:t>
      </w:r>
      <w:r>
        <w:rPr>
          <w:rStyle w:val="DataTypeTok"/>
          <w:rFonts w:ascii="Arial" w:hAnsi="Arial" w:cs="Arial"/>
        </w:rPr>
        <w:t xml:space="preserve">"review_status"</w:t>
      </w:r>
      <w:r>
        <w:rPr>
          <w:rStyle w:val="FunctionTok"/>
          <w:rFonts w:ascii="Arial" w:hAnsi="Arial" w:cs="Arial"/>
        </w:rPr>
        <w:t xml:space="preserve">:</w:t>
      </w:r>
      <w:r>
        <w:rPr>
          <w:rStyle w:val="NormalTok"/>
          <w:rFonts w:ascii="Arial" w:hAnsi="Arial" w:cs="Arial"/>
        </w:rPr>
        <w:t xml:space="preserve"> </w:t>
      </w:r>
      <w:r>
        <w:rPr>
          <w:rStyle w:val="StringTok"/>
          <w:rFonts w:ascii="Arial" w:hAnsi="Arial" w:cs="Arial"/>
        </w:rPr>
        <w:t xml:space="preserve">"pending/confirmed/dismissed"</w:t>
      </w:r>
      <w:r>
        <w:rPr>
          <w:rFonts w:ascii="Arial" w:hAnsi="Arial" w:cs="Arial"/>
        </w:rPr>
        <w:br/>
      </w:r>
      <w:r>
        <w:rPr>
          <w:rStyle w:val="FunctionTok"/>
          <w:rFonts w:ascii="Arial" w:hAnsi="Arial" w:cs="Arial"/>
        </w:rPr>
        <w:t xml:space="preserve">}</w:t>
      </w:r>
    </w:p>
    <w:p>
      <w:pPr>
        <w:pStyle w:val="FirstParagraph"/>
      </w:pPr>
      <w:r>
        <w:rPr>
          <w:rFonts w:ascii="Arial" w:hAnsi="Arial" w:cs="Arial"/>
          <w:b/>
        </w:rPr>
        <w:t xml:space="preserve">8. Appendices</w:t>
      </w:r>
    </w:p>
    <w:p>
      <w:pPr>
        <w:pStyle w:val="BodyText"/>
      </w:pPr>
      <w:r>
        <w:rPr>
          <w:rFonts w:ascii="Arial" w:hAnsi="Arial" w:cs="Arial"/>
          <w:b/>
        </w:rPr>
        <w:t xml:space="preserve">Appendix A: Glossary of Terms</w:t>
      </w:r>
    </w:p>
    <w:p>
      <w:pPr>
        <w:numPr>
          <w:ilvl w:val="0"/>
          <w:numId w:val="1009"/>
        </w:numPr>
      </w:pPr>
      <w:r>
        <w:rPr>
          <w:rFonts w:ascii="Arial" w:hAnsi="Arial" w:cs="Arial"/>
          <w:b/>
        </w:rPr>
        <w:t xml:space="preserve">Alignment System:</w:t>
      </w:r>
      <w:r>
        <w:rPr>
          <w:rFonts w:ascii="Arial" w:hAnsi="Arial" w:cs="Arial"/>
        </w:rPr>
        <w:t xml:space="preserve"> The DAOTONG AI Ethics and Value Alignment System, the core assurance layer of the DAOTONG governance architecture.</w:t>
      </w:r>
    </w:p>
    <w:p>
      <w:pPr>
        <w:numPr>
          <w:ilvl w:val="0"/>
          <w:numId w:val="1009"/>
        </w:numPr>
      </w:pPr>
      <w:r>
        <w:rPr>
          <w:rFonts w:ascii="Arial" w:hAnsi="Arial" w:cs="Arial"/>
          <w:b/>
        </w:rPr>
        <w:t xml:space="preserve">Reasoning Chain:</w:t>
      </w:r>
      <w:r>
        <w:rPr>
          <w:rFonts w:ascii="Arial" w:hAnsi="Arial" w:cs="Arial"/>
        </w:rPr>
        <w:t xml:space="preserve"> A complete, auditable record of an AI decision’s rationale, alternatives considered, and decision process.</w:t>
      </w:r>
    </w:p>
    <w:p>
      <w:pPr>
        <w:numPr>
          <w:ilvl w:val="0"/>
          <w:numId w:val="1009"/>
        </w:numPr>
      </w:pPr>
      <w:r>
        <w:rPr>
          <w:rFonts w:ascii="Arial" w:hAnsi="Arial" w:cs="Arial"/>
          <w:b/>
        </w:rPr>
        <w:t xml:space="preserve">Value Drift:</w:t>
      </w:r>
      <w:r>
        <w:rPr>
          <w:rFonts w:ascii="Arial" w:hAnsi="Arial" w:cs="Arial"/>
        </w:rPr>
        <w:t xml:space="preserve"> The phenomenon where AI systems gradually deviate from originally intended values during long-term operation.</w:t>
      </w:r>
    </w:p>
    <w:p>
      <w:pPr>
        <w:numPr>
          <w:ilvl w:val="0"/>
          <w:numId w:val="1009"/>
        </w:numPr>
      </w:pPr>
      <w:r>
        <w:rPr>
          <w:rFonts w:ascii="Arial" w:hAnsi="Arial" w:cs="Arial"/>
          <w:b/>
        </w:rPr>
        <w:t xml:space="preserve">Constitutional Lock:</w:t>
      </w:r>
      <w:r>
        <w:rPr>
          <w:rFonts w:ascii="Arial" w:hAnsi="Arial" w:cs="Arial"/>
        </w:rPr>
        <w:t xml:space="preserve"> A technical and institutional mechanism ensuring the unmodifiability of constitutional principles.</w:t>
      </w:r>
    </w:p>
    <w:p>
      <w:pPr>
        <w:numPr>
          <w:ilvl w:val="0"/>
          <w:numId w:val="1009"/>
        </w:numPr>
      </w:pPr>
      <w:r>
        <w:rPr>
          <w:rFonts w:ascii="Arial" w:hAnsi="Arial" w:cs="Arial"/>
          <w:b/>
        </w:rPr>
        <w:t xml:space="preserve">Minimum Necessary Rules:</w:t>
      </w:r>
      <w:r>
        <w:rPr>
          <w:rFonts w:ascii="Arial" w:hAnsi="Arial" w:cs="Arial"/>
        </w:rPr>
        <w:t xml:space="preserve"> A design principle advocating that rules should be just sufficient to cover known decision scenarios.</w:t>
      </w:r>
    </w:p>
    <w:p>
      <w:pPr>
        <w:pStyle w:val="FirstParagraph"/>
      </w:pPr>
      <w:r>
        <w:rPr>
          <w:rFonts w:ascii="Arial" w:hAnsi="Arial" w:cs="Arial"/>
          <w:b/>
        </w:rPr>
        <w:t xml:space="preserve">Appendix B: Version Change History</w:t>
      </w:r>
    </w:p>
    <w:tbl>
      <w:tblPr>
        <w:tblStyle w:val="Table"/>
        <w:tblW w:type="pct" w:w="0.0"/>
        <w:tblLook w:firstRow="1"/>
      </w:tblPr>
      <w:tblGrid/>
      <w:tr>
        <w:trPr>
          <w:cnfStyle w:firstRow="1"/>
        </w:trPr>
        <w:tc>
          <w:tcPr>
            <w:tcBorders>
              <w:bottom w:val="single"/>
            </w:tcBorders>
            <w:vAlign w:val="bottom"/>
          </w:tcPr>
          <w:p>
            <w:pPr>
              <w:pStyle w:val="Compact"/>
              <w:jc w:val="left"/>
            </w:pPr>
            <w:r>
              <w:rPr>
                <w:rFonts w:ascii="Arial" w:hAnsi="Arial" w:cs="Arial"/>
              </w:rPr>
              <w:t xml:space="preserve">Version</w:t>
            </w:r>
          </w:p>
        </w:tc>
        <w:tc>
          <w:tcPr>
            <w:tcBorders>
              <w:bottom w:val="single"/>
            </w:tcBorders>
            <w:vAlign w:val="bottom"/>
          </w:tcPr>
          <w:p>
            <w:pPr>
              <w:pStyle w:val="Compact"/>
              <w:jc w:val="left"/>
            </w:pPr>
            <w:r>
              <w:rPr>
                <w:rFonts w:ascii="Arial" w:hAnsi="Arial" w:cs="Arial"/>
              </w:rPr>
              <w:t xml:space="preserve">Date</w:t>
            </w:r>
          </w:p>
        </w:tc>
        <w:tc>
          <w:tcPr>
            <w:tcBorders>
              <w:bottom w:val="single"/>
            </w:tcBorders>
            <w:vAlign w:val="bottom"/>
          </w:tcPr>
          <w:p>
            <w:pPr>
              <w:pStyle w:val="Compact"/>
              <w:jc w:val="left"/>
            </w:pPr>
            <w:r>
              <w:rPr>
                <w:rFonts w:ascii="Arial" w:hAnsi="Arial" w:cs="Arial"/>
              </w:rPr>
              <w:t xml:space="preserve">Changes</w:t>
            </w:r>
          </w:p>
        </w:tc>
      </w:tr>
      <w:tr>
        <w:tc>
          <w:p>
            <w:pPr>
              <w:pStyle w:val="Compact"/>
              <w:jc w:val="left"/>
            </w:pPr>
            <w:r>
              <w:rPr>
                <w:rFonts w:ascii="Arial" w:hAnsi="Arial" w:cs="Arial"/>
              </w:rPr>
              <w:t xml:space="preserve">v0.1</w:t>
            </w:r>
          </w:p>
        </w:tc>
        <w:tc>
          <w:p>
            <w:pPr>
              <w:pStyle w:val="Compact"/>
              <w:jc w:val="left"/>
            </w:pPr>
            <w:r>
              <w:rPr>
                <w:rFonts w:ascii="Arial" w:hAnsi="Arial" w:cs="Arial"/>
              </w:rPr>
              <w:t xml:space="preserve">2025-09-15</w:t>
            </w:r>
          </w:p>
        </w:tc>
        <w:tc>
          <w:p>
            <w:pPr>
              <w:pStyle w:val="Compact"/>
              <w:jc w:val="left"/>
            </w:pPr>
            <w:r>
              <w:rPr>
                <w:rFonts w:ascii="Arial" w:hAnsi="Arial" w:cs="Arial"/>
              </w:rPr>
              <w:t xml:space="preserve">Initial draft released for internal review</w:t>
            </w:r>
          </w:p>
        </w:tc>
      </w:tr>
      <w:tr>
        <w:tc>
          <w:p>
            <w:pPr>
              <w:pStyle w:val="Compact"/>
              <w:jc w:val="left"/>
            </w:pPr>
            <w:r>
              <w:rPr>
                <w:rFonts w:ascii="Arial" w:hAnsi="Arial" w:cs="Arial"/>
              </w:rPr>
              <w:t xml:space="preserve">v0.5</w:t>
            </w:r>
          </w:p>
        </w:tc>
        <w:tc>
          <w:p>
            <w:pPr>
              <w:pStyle w:val="Compact"/>
              <w:jc w:val="left"/>
            </w:pPr>
            <w:r>
              <w:rPr>
                <w:rFonts w:ascii="Arial" w:hAnsi="Arial" w:cs="Arial"/>
              </w:rPr>
              <w:t xml:space="preserve">2025-12-01</w:t>
            </w:r>
          </w:p>
        </w:tc>
        <w:tc>
          <w:p>
            <w:pPr>
              <w:pStyle w:val="Compact"/>
              <w:jc w:val="left"/>
            </w:pPr>
            <w:r>
              <w:rPr>
                <w:rFonts w:ascii="Arial" w:hAnsi="Arial" w:cs="Arial"/>
              </w:rPr>
              <w:t xml:space="preserve">Incorporated feedback from AI governance experts</w:t>
            </w:r>
          </w:p>
        </w:tc>
      </w:tr>
      <w:tr>
        <w:tc>
          <w:p>
            <w:pPr>
              <w:pStyle w:val="Compact"/>
              <w:jc w:val="left"/>
            </w:pPr>
            <w:r>
              <w:rPr>
                <w:rFonts w:ascii="Arial" w:hAnsi="Arial" w:cs="Arial"/>
              </w:rPr>
              <w:t xml:space="preserve">v0.8</w:t>
            </w:r>
          </w:p>
        </w:tc>
        <w:tc>
          <w:p>
            <w:pPr>
              <w:pStyle w:val="Compact"/>
              <w:jc w:val="left"/>
            </w:pPr>
            <w:r>
              <w:rPr>
                <w:rFonts w:ascii="Arial" w:hAnsi="Arial" w:cs="Arial"/>
              </w:rPr>
              <w:t xml:space="preserve">2026-03-15</w:t>
            </w:r>
          </w:p>
        </w:tc>
        <w:tc>
          <w:p>
            <w:pPr>
              <w:pStyle w:val="Compact"/>
              <w:jc w:val="left"/>
            </w:pPr>
            <w:r>
              <w:rPr>
                <w:rFonts w:ascii="Arial" w:hAnsi="Arial" w:cs="Arial"/>
              </w:rPr>
              <w:t xml:space="preserve">Added technical parameter specifications</w:t>
            </w:r>
          </w:p>
        </w:tc>
      </w:tr>
      <w:tr>
        <w:tc>
          <w:p>
            <w:pPr>
              <w:pStyle w:val="Compact"/>
              <w:jc w:val="left"/>
            </w:pPr>
            <w:r>
              <w:rPr>
                <w:rFonts w:ascii="Arial" w:hAnsi="Arial" w:cs="Arial"/>
              </w:rPr>
              <w:t xml:space="preserve">v1.0</w:t>
            </w:r>
          </w:p>
        </w:tc>
        <w:tc>
          <w:p>
            <w:pPr>
              <w:pStyle w:val="Compact"/>
              <w:jc w:val="left"/>
            </w:pPr>
            <w:r>
              <w:rPr>
                <w:rFonts w:ascii="Arial" w:hAnsi="Arial" w:cs="Arial"/>
              </w:rPr>
              <w:t xml:space="preserve">2026-06-01</w:t>
            </w:r>
          </w:p>
        </w:tc>
        <w:tc>
          <w:p>
            <w:pPr>
              <w:pStyle w:val="Compact"/>
              <w:jc w:val="left"/>
            </w:pPr>
            <w:r>
              <w:rPr>
                <w:rFonts w:ascii="Arial" w:hAnsi="Arial" w:cs="Arial"/>
              </w:rPr>
              <w:t xml:space="preserve">Public review draft</w:t>
            </w:r>
          </w:p>
        </w:tc>
      </w:tr>
    </w:tbl>
    <w:p>
      <w:pPr>
        <w:pStyle w:val="BodyText"/>
      </w:pPr>
      <w:r>
        <w:rPr>
          <w:rFonts w:ascii="Arial" w:hAnsi="Arial" w:cs="Arial"/>
          <w:b/>
        </w:rPr>
        <w:t xml:space="preserve">Appendix C: Related Documents</w:t>
      </w:r>
    </w:p>
    <w:p>
      <w:pPr>
        <w:numPr>
          <w:ilvl w:val="0"/>
          <w:numId w:val="1010"/>
        </w:numPr>
        <w:pStyle w:val="Compact"/>
      </w:pPr>
      <w:r>
        <w:rPr>
          <w:rFonts w:ascii="Arial" w:hAnsi="Arial" w:cs="Arial"/>
        </w:rPr>
        <w:t xml:space="preserve">DAOTONG Founding Constitution</w:t>
      </w:r>
    </w:p>
    <w:p>
      <w:pPr>
        <w:numPr>
          <w:ilvl w:val="0"/>
          <w:numId w:val="1010"/>
        </w:numPr>
        <w:pStyle w:val="Compact"/>
      </w:pPr>
      <w:r>
        <w:rPr>
          <w:rFonts w:ascii="Arial" w:hAnsi="Arial" w:cs="Arial"/>
        </w:rPr>
        <w:t xml:space="preserve">AI Governance Framework Specification</w:t>
      </w:r>
    </w:p>
    <w:p>
      <w:pPr>
        <w:numPr>
          <w:ilvl w:val="0"/>
          <w:numId w:val="1010"/>
        </w:numPr>
        <w:pStyle w:val="Compact"/>
      </w:pPr>
      <w:r>
        <w:rPr>
          <w:rFonts w:ascii="Arial" w:hAnsi="Arial" w:cs="Arial"/>
        </w:rPr>
        <w:t xml:space="preserve">Digital Citizen Rights Charter</w:t>
      </w:r>
    </w:p>
    <w:p>
      <w:pPr>
        <w:numPr>
          <w:ilvl w:val="0"/>
          <w:numId w:val="1010"/>
        </w:numPr>
        <w:pStyle w:val="Compact"/>
      </w:pPr>
      <w:r>
        <w:rPr>
          <w:rFonts w:ascii="Arial" w:hAnsi="Arial" w:cs="Arial"/>
        </w:rPr>
        <w:t xml:space="preserve">Ethics Audit Board Operating Procedures</w:t>
      </w:r>
    </w:p>
    <w:p>
      <w:pPr>
        <w:numPr>
          <w:ilvl w:val="0"/>
          <w:numId w:val="1010"/>
        </w:numPr>
        <w:pStyle w:val="Compact"/>
      </w:pPr>
      <w:r>
        <w:rPr>
          <w:rFonts w:ascii="Arial" w:hAnsi="Arial" w:cs="Arial"/>
        </w:rPr>
        <w:t xml:space="preserve">Emergency Response Protocols</w:t>
      </w:r>
    </w:p>
    <w:p>
      <w:pPr>
        <w:pStyle w:val="FirstParagraph"/>
      </w:pPr>
      <w:r>
        <w:rPr>
          <w:rFonts w:ascii="Arial" w:hAnsi="Arial" w:cs="Arial"/>
          <w:b/>
        </w:rPr>
        <w:t xml:space="preserve">Appendix D: Acknowledgments</w:t>
      </w:r>
    </w:p>
    <w:p>
      <w:pPr>
        <w:pStyle w:val="BodyText"/>
      </w:pPr>
      <w:r>
        <w:rPr>
          <w:rFonts w:ascii="Arial" w:hAnsi="Arial" w:cs="Arial"/>
        </w:rPr>
        <w:t xml:space="preserve">This document was developed through extensive collaboration. We thank the following organizations and individuals for their contributions:</w:t>
      </w:r>
    </w:p>
    <w:p>
      <w:pPr>
        <w:numPr>
          <w:ilvl w:val="0"/>
          <w:numId w:val="1011"/>
        </w:numPr>
        <w:pStyle w:val="Compact"/>
      </w:pPr>
      <w:r>
        <w:rPr>
          <w:rFonts w:ascii="Arial" w:hAnsi="Arial" w:cs="Arial"/>
        </w:rPr>
        <w:t xml:space="preserve">The DAOTONG Technical Committee for architectural design guidance</w:t>
      </w:r>
    </w:p>
    <w:p>
      <w:pPr>
        <w:numPr>
          <w:ilvl w:val="0"/>
          <w:numId w:val="1011"/>
        </w:numPr>
        <w:pStyle w:val="Compact"/>
      </w:pPr>
      <w:r>
        <w:rPr>
          <w:rFonts w:ascii="Arial" w:hAnsi="Arial" w:cs="Arial"/>
        </w:rPr>
        <w:t xml:space="preserve">The Ethics Advisory Panel for ethical framework review</w:t>
      </w:r>
    </w:p>
    <w:p>
      <w:pPr>
        <w:numPr>
          <w:ilvl w:val="0"/>
          <w:numId w:val="1011"/>
        </w:numPr>
        <w:pStyle w:val="Compact"/>
      </w:pPr>
      <w:r>
        <w:rPr>
          <w:rFonts w:ascii="Arial" w:hAnsi="Arial" w:cs="Arial"/>
        </w:rPr>
        <w:t xml:space="preserve">The Public Engagement Team for community feedback collection</w:t>
      </w:r>
    </w:p>
    <w:p>
      <w:pPr>
        <w:numPr>
          <w:ilvl w:val="0"/>
          <w:numId w:val="1011"/>
        </w:numPr>
        <w:pStyle w:val="Compact"/>
      </w:pPr>
      <w:r>
        <w:rPr>
          <w:rFonts w:ascii="Arial" w:hAnsi="Arial" w:cs="Arial"/>
        </w:rPr>
        <w:t xml:space="preserve">External reviewers from academic institutions and civil society organizations</w:t>
      </w:r>
    </w:p>
    <w:p>
      <w:r>
        <w:rPr>
          <w:rFonts w:ascii="Arial" w:hAnsi="Arial" w:cs="Arial"/>
        </w:rPr>
        <w:pict>
          <v:rect style="width:0;height:1.5pt" o:hralign="center" o:hrstd="t" o:hr="t"/>
        </w:pict>
      </w:r>
    </w:p>
    <w:p>
      <w:pPr>
        <w:pStyle w:val="FirstParagraph"/>
      </w:pPr>
      <w:r>
        <w:rPr>
          <w:rFonts w:ascii="Arial" w:hAnsi="Arial" w:cs="Arial"/>
          <w:i/>
        </w:rPr>
        <w:t xml:space="preserve">This document is maintained by the DAOTONG Project Team. For questions or comments, please contact: ethics@daotong.org</w:t>
      </w:r>
    </w:p>
    <w:p>
      <w:pPr>
        <w:pStyle w:val="BodyText"/>
      </w:pPr>
      <w:r>
        <w:rPr>
          <w:rFonts w:ascii="Arial" w:hAnsi="Arial" w:cs="Arial"/>
          <w:i/>
        </w:rPr>
        <w:t xml:space="preserve">Document version: v1.0 | Last updated: June 2026 | License: CC BY-SA 4.0</w:t>
      </w:r>
    </w:p>
    <w:p>
      <w:pPr>
        <w:pStyle w:val="BodyText"/>
      </w:pPr>
      <w:r>
        <w:rPr>
          <w:rFonts w:ascii="Arial" w:hAnsi="Arial" w:cs="Arial"/>
          <w:b/>
        </w:rPr>
        <w:t xml:space="preserve">3.6 Correctability</w:t>
      </w:r>
    </w:p>
    <w:p>
      <w:pPr>
        <w:pStyle w:val="BodyText"/>
      </w:pPr>
      <w:r>
        <w:rPr>
          <w:rFonts w:ascii="Arial" w:hAnsi="Arial" w:cs="Arial"/>
          <w:b/>
        </w:rPr>
        <w:t xml:space="preserve">3.6.1 Principle Definition</w:t>
      </w:r>
    </w:p>
    <w:p>
      <w:pPr>
        <w:pStyle w:val="BodyText"/>
      </w:pPr>
      <w:r>
        <w:rPr>
          <w:rFonts w:ascii="Arial" w:hAnsi="Arial" w:cs="Arial"/>
        </w:rPr>
        <w:t>Any decision must be revocable. The principle of correctability acknowledges that AI systems cannot always make perfect decisions, therefore requiring that every AI decision be designed with a revocation path. This means: each decision comes with revocation conditions, revocation procedures, and remedial measures after revocation. Correctability is not “remedial action after the fact”——it must be embedded at the decision design stage, being an inherent attribute of the decision architecture.</w:t>
      </w:r>
    </w:p>
    <w:p>
      <w:pPr>
        <w:pStyle w:val="BodyText"/>
      </w:pPr>
      <w:r>
        <w:rPr>
          <w:rFonts w:ascii="Arial" w:hAnsi="Arial" w:cs="Arial"/>
          <w:b/>
        </w:rPr>
        <w:t xml:space="preserve">3.6.2 Correction Mechanisms</w:t>
      </w:r>
    </w:p>
    <w:p>
      <w:pPr>
        <w:pStyle w:val="BodyText"/>
      </w:pPr>
      <w:r>
        <w:rPr>
          <w:rFonts w:ascii="Arial" w:hAnsi="Arial" w:cs="Arial"/>
        </w:rPr>
        <w:t xml:space="preserve">The implementation of correctability relies on a three-layer correction mechanism: The first layer, automatic correction——when the system detects a decision that contradicts subsequent information, the correction procedure is automatically triggered; The second layer, appeal-based correction——when the affected party or other stakeholders file an appeal, the review procedure is initiated; The third layer, systemic correction——when the Ethics Audit Board discovers systemic biases, it may initiate a batch correction procedure. Each layer of correction has clear time limits: automatic correction takes effect immediately, appeal-based correction completes review within 72 hours, and systemic correction completes batch processing within 30 days.</w:t>
      </w:r>
    </w:p>
    <w:p>
      <w:pPr>
        <w:pStyle w:val="BodyText"/>
      </w:pPr>
      <w:r>
        <w:rPr>
          <w:rFonts w:ascii="Arial" w:hAnsi="Arial" w:cs="Arial"/>
          <w:b/>
        </w:rPr>
        <w:t xml:space="preserve">3.7 Overview of the Six Principles</w:t>
      </w:r>
    </w:p>
    <w:tbl>
      <w:tblPr>
        <w:tblStyle w:val="Table"/>
        <w:tblW w:type="pct" w:w="5000.0"/>
        <w:tblLook w:firstRow="0"/>
      </w:tblPr>
      <w:tblGrid>
        <w:gridCol w:w="900"/>
        <w:gridCol w:w="2520"/>
        <w:gridCol w:w="1800"/>
        <w:gridCol w:w="1260"/>
        <w:gridCol w:w="1440"/>
      </w:tblGrid>
      <w:tr>
        <w:tc>
          <w:p>
            <w:pPr>
              <w:pStyle w:val="Compact"/>
              <w:jc w:val="left"/>
            </w:pPr>
            <w:r>
              <w:rPr>
                <w:rFonts w:ascii="Arial" w:hAnsi="Arial" w:cs="Arial"/>
                <w:b/>
              </w:rPr>
              <w:t xml:space="preserve">Principle</w:t>
            </w:r>
          </w:p>
        </w:tc>
        <w:tc>
          <w:p>
            <w:pPr>
              <w:pStyle w:val="Compact"/>
              <w:jc w:val="left"/>
            </w:pPr>
            <w:r>
              <w:rPr>
                <w:rFonts w:ascii="Arial" w:hAnsi="Arial" w:cs="Arial"/>
                <w:b/>
              </w:rPr>
              <w:t xml:space="preserve">Core Requirement</w:t>
            </w:r>
          </w:p>
        </w:tc>
        <w:tc>
          <w:p>
            <w:pPr>
              <w:pStyle w:val="Compact"/>
              <w:jc w:val="left"/>
            </w:pPr>
            <w:r>
              <w:rPr>
                <w:rFonts w:ascii="Arial" w:hAnsi="Arial" w:cs="Arial"/>
                <w:b/>
              </w:rPr>
              <w:t xml:space="preserve">Violation Criteria</w:t>
            </w:r>
          </w:p>
        </w:tc>
        <w:tc>
          <w:p>
            <w:pPr>
              <w:pStyle w:val="Compact"/>
              <w:jc w:val="left"/>
            </w:pPr>
            <w:r>
              <w:rPr>
                <w:rFonts w:ascii="Arial" w:hAnsi="Arial" w:cs="Arial"/>
                <w:b/>
              </w:rPr>
              <w:t xml:space="preserve">Correction Timeframe</w:t>
            </w:r>
          </w:p>
        </w:tc>
        <w:tc>
          <w:p>
            <w:pPr>
              <w:pStyle w:val="Compact"/>
              <w:jc w:val="left"/>
            </w:pPr>
            <w:r>
              <w:rPr>
                <w:rFonts w:ascii="Arial" w:hAnsi="Arial" w:cs="Arial"/>
                <w:b/>
              </w:rPr>
              <w:t xml:space="preserve">Verification Method</w:t>
            </w:r>
          </w:p>
        </w:tc>
      </w:tr>
      <w:tr>
        <w:tc>
          <w:p>
            <w:pPr>
              <w:pStyle w:val="Compact"/>
              <w:jc w:val="left"/>
            </w:pPr>
            <w:r>
              <w:rPr>
                <w:rFonts w:ascii="Arial" w:hAnsi="Arial" w:cs="Arial"/>
              </w:rPr>
              <w:t xml:space="preserve">Human Dignity</w:t>
            </w:r>
          </w:p>
        </w:tc>
        <w:tc>
          <w:p>
            <w:pPr>
              <w:pStyle w:val="Compact"/>
              <w:jc w:val="left"/>
            </w:pPr>
            <w:r>
              <w:rPr>
                <w:rFonts w:ascii="Arial" w:hAnsi="Arial" w:cs="Arial"/>
              </w:rPr>
              <w:t xml:space="preserve">Shall not objectify or demean individuals</w:t>
            </w:r>
          </w:p>
        </w:tc>
        <w:tc>
          <w:p>
            <w:pPr>
              <w:pStyle w:val="Compact"/>
              <w:jc w:val="left"/>
            </w:pPr>
            <w:r>
              <w:rPr>
                <w:rFonts w:ascii="Arial" w:hAnsi="Arial" w:cs="Arial"/>
              </w:rPr>
              <w:t xml:space="preserve">Rational person objective standard</w:t>
            </w:r>
          </w:p>
        </w:tc>
        <w:tc>
          <w:p>
            <w:pPr>
              <w:pStyle w:val="Compact"/>
              <w:jc w:val="left"/>
            </w:pPr>
            <w:r>
              <w:rPr>
                <w:rFonts w:ascii="Arial" w:hAnsi="Arial" w:cs="Arial"/>
              </w:rPr>
              <w:t xml:space="preserve">48 hours</w:t>
            </w:r>
          </w:p>
        </w:tc>
        <w:tc>
          <w:p>
            <w:pPr>
              <w:pStyle w:val="Compact"/>
              <w:jc w:val="left"/>
            </w:pPr>
            <w:r>
              <w:rPr>
                <w:rFonts w:ascii="Arial" w:hAnsi="Arial" w:cs="Arial"/>
              </w:rPr>
              <w:t xml:space="preserve">Semantic analysis</w:t>
            </w:r>
          </w:p>
        </w:tc>
      </w:tr>
      <w:tr>
        <w:tc>
          <w:p>
            <w:pPr>
              <w:pStyle w:val="Compact"/>
              <w:jc w:val="left"/>
            </w:pPr>
            <w:r>
              <w:rPr>
                <w:rFonts w:ascii="Arial" w:hAnsi="Arial" w:cs="Arial"/>
              </w:rPr>
              <w:t xml:space="preserve">Autonomy</w:t>
            </w:r>
          </w:p>
        </w:tc>
        <w:tc>
          <w:p>
            <w:pPr>
              <w:pStyle w:val="Compact"/>
              <w:jc w:val="left"/>
            </w:pPr>
            <w:r>
              <w:rPr>
                <w:rFonts w:ascii="Arial" w:hAnsi="Arial" w:cs="Arial"/>
              </w:rPr>
              <w:t xml:space="preserve">Shall not harm others’ freedom of choice</w:t>
            </w:r>
          </w:p>
        </w:tc>
        <w:tc>
          <w:p>
            <w:pPr>
              <w:pStyle w:val="Compact"/>
              <w:jc w:val="left"/>
            </w:pPr>
            <w:r>
              <w:rPr>
                <w:rFonts w:ascii="Arial" w:hAnsi="Arial" w:cs="Arial"/>
              </w:rPr>
              <w:t xml:space="preserve">Degree of choice restriction assessment</w:t>
            </w:r>
          </w:p>
        </w:tc>
        <w:tc>
          <w:p>
            <w:pPr>
              <w:pStyle w:val="Compact"/>
              <w:jc w:val="left"/>
            </w:pPr>
            <w:r>
              <w:rPr>
                <w:rFonts w:ascii="Arial" w:hAnsi="Arial" w:cs="Arial"/>
              </w:rPr>
              <w:t xml:space="preserve">48 hours</w:t>
            </w:r>
          </w:p>
        </w:tc>
        <w:tc>
          <w:p>
            <w:pPr>
              <w:pStyle w:val="Compact"/>
              <w:jc w:val="left"/>
            </w:pPr>
            <w:r>
              <w:rPr>
                <w:rFonts w:ascii="Arial" w:hAnsi="Arial" w:cs="Arial"/>
              </w:rPr>
              <w:t xml:space="preserve">Choice architecture audit</w:t>
            </w:r>
          </w:p>
        </w:tc>
      </w:tr>
      <w:tr>
        <w:tc>
          <w:p>
            <w:pPr>
              <w:pStyle w:val="Compact"/>
              <w:jc w:val="left"/>
            </w:pPr>
            <w:r>
              <w:rPr>
                <w:rFonts w:ascii="Arial" w:hAnsi="Arial" w:cs="Arial"/>
              </w:rPr>
              <w:t xml:space="preserve">Fairness</w:t>
            </w:r>
          </w:p>
        </w:tc>
        <w:tc>
          <w:p>
            <w:pPr>
              <w:pStyle w:val="Compact"/>
              <w:jc w:val="left"/>
            </w:pPr>
            <w:r>
              <w:rPr>
                <w:rFonts w:ascii="Arial" w:hAnsi="Arial" w:cs="Arial"/>
              </w:rPr>
              <w:t xml:space="preserve">Similar situations treated similarly</w:t>
            </w:r>
          </w:p>
        </w:tc>
        <w:tc>
          <w:p>
            <w:pPr>
              <w:pStyle w:val="Compact"/>
              <w:jc w:val="left"/>
            </w:pPr>
            <w:r>
              <w:rPr>
                <w:rFonts w:ascii="Arial" w:hAnsi="Arial" w:cs="Arial"/>
              </w:rPr>
              <w:t xml:space="preserve">Four-dimensional statistical test</w:t>
            </w:r>
          </w:p>
        </w:tc>
        <w:tc>
          <w:p>
            <w:pPr>
              <w:pStyle w:val="Compact"/>
              <w:jc w:val="left"/>
            </w:pPr>
            <w:r>
              <w:rPr>
                <w:rFonts w:ascii="Arial" w:hAnsi="Arial" w:cs="Arial"/>
              </w:rPr>
              <w:t xml:space="preserve">7 days</w:t>
            </w:r>
          </w:p>
        </w:tc>
        <w:tc>
          <w:p>
            <w:pPr>
              <w:pStyle w:val="Compact"/>
              <w:jc w:val="left"/>
            </w:pPr>
            <w:r>
              <w:rPr>
                <w:rFonts w:ascii="Arial" w:hAnsi="Arial" w:cs="Arial"/>
              </w:rPr>
              <w:t xml:space="preserve">Statistical audit engine</w:t>
            </w:r>
          </w:p>
        </w:tc>
      </w:tr>
      <w:tr>
        <w:tc>
          <w:p>
            <w:pPr>
              <w:pStyle w:val="Compact"/>
              <w:jc w:val="left"/>
            </w:pPr>
            <w:r>
              <w:rPr>
                <w:rFonts w:ascii="Arial" w:hAnsi="Arial" w:cs="Arial"/>
              </w:rPr>
              <w:t xml:space="preserve">Transparency</w:t>
            </w:r>
          </w:p>
        </w:tc>
        <w:tc>
          <w:p>
            <w:pPr>
              <w:pStyle w:val="Compact"/>
              <w:jc w:val="left"/>
            </w:pPr>
            <w:r>
              <w:rPr>
                <w:rFonts w:ascii="Arial" w:hAnsi="Arial" w:cs="Arial"/>
              </w:rPr>
              <w:t xml:space="preserve">Decisions must be explainable</w:t>
            </w:r>
          </w:p>
        </w:tc>
        <w:tc>
          <w:p>
            <w:pPr>
              <w:pStyle w:val="Compact"/>
              <w:jc w:val="left"/>
            </w:pPr>
            <w:r>
              <w:rPr>
                <w:rFonts w:ascii="Arial" w:hAnsi="Arial" w:cs="Arial"/>
              </w:rPr>
              <w:t xml:space="preserve">Three-tier explanation standard</w:t>
            </w:r>
          </w:p>
        </w:tc>
        <w:tc>
          <w:p>
            <w:pPr>
              <w:pStyle w:val="Compact"/>
              <w:jc w:val="left"/>
            </w:pPr>
            <w:r>
              <w:rPr>
                <w:rFonts w:ascii="Arial" w:hAnsi="Arial" w:cs="Arial"/>
              </w:rPr>
              <w:t xml:space="preserve">Immediate</w:t>
            </w:r>
          </w:p>
        </w:tc>
        <w:tc>
          <w:p>
            <w:pPr>
              <w:pStyle w:val="Compact"/>
              <w:jc w:val="left"/>
            </w:pPr>
            <w:r>
              <w:rPr>
                <w:rFonts w:ascii="Arial" w:hAnsi="Arial" w:cs="Arial"/>
              </w:rPr>
              <w:t xml:space="preserve">Explanation quality assessment</w:t>
            </w:r>
          </w:p>
        </w:tc>
      </w:tr>
      <w:tr>
        <w:tc>
          <w:p>
            <w:pPr>
              <w:pStyle w:val="Compact"/>
              <w:jc w:val="left"/>
            </w:pPr>
            <w:r>
              <w:rPr>
                <w:rFonts w:ascii="Arial" w:hAnsi="Arial" w:cs="Arial"/>
              </w:rPr>
              <w:t xml:space="preserve">Minimal Harm</w:t>
            </w:r>
          </w:p>
        </w:tc>
        <w:tc>
          <w:p>
            <w:pPr>
              <w:pStyle w:val="Compact"/>
              <w:jc w:val="left"/>
            </w:pPr>
            <w:r>
              <w:rPr>
                <w:rFonts w:ascii="Arial" w:hAnsi="Arial" w:cs="Arial"/>
              </w:rPr>
              <w:t xml:space="preserve">Select the least harmful option</w:t>
            </w:r>
          </w:p>
        </w:tc>
        <w:tc>
          <w:p>
            <w:pPr>
              <w:pStyle w:val="Compact"/>
              <w:jc w:val="left"/>
            </w:pPr>
            <w:r>
              <w:rPr>
                <w:rFonts w:ascii="Arial" w:hAnsi="Arial" w:cs="Arial"/>
              </w:rPr>
              <w:t xml:space="preserve">Five-dimensional harm index</w:t>
            </w:r>
          </w:p>
        </w:tc>
        <w:tc>
          <w:p>
            <w:pPr>
              <w:pStyle w:val="Compact"/>
              <w:jc w:val="left"/>
            </w:pPr>
            <w:r>
              <w:rPr>
                <w:rFonts w:ascii="Arial" w:hAnsi="Arial" w:cs="Arial"/>
              </w:rPr>
              <w:t xml:space="preserve">72 hours</w:t>
            </w:r>
          </w:p>
        </w:tc>
        <w:tc>
          <w:p>
            <w:pPr>
              <w:pStyle w:val="Compact"/>
              <w:jc w:val="left"/>
            </w:pPr>
            <w:r>
              <w:rPr>
                <w:rFonts w:ascii="Arial" w:hAnsi="Arial" w:cs="Arial"/>
              </w:rPr>
              <w:t xml:space="preserve">Harm assessment replay</w:t>
            </w:r>
          </w:p>
        </w:tc>
      </w:tr>
      <w:tr>
        <w:tc>
          <w:p>
            <w:pPr>
              <w:pStyle w:val="Compact"/>
              <w:jc w:val="left"/>
            </w:pPr>
            <w:r>
              <w:rPr>
                <w:rFonts w:ascii="Arial" w:hAnsi="Arial" w:cs="Arial"/>
              </w:rPr>
              <w:t xml:space="preserve">Correctability</w:t>
            </w:r>
          </w:p>
        </w:tc>
        <w:tc>
          <w:p>
            <w:pPr>
              <w:pStyle w:val="Compact"/>
              <w:jc w:val="left"/>
            </w:pPr>
            <w:r>
              <w:rPr>
                <w:rFonts w:ascii="Arial" w:hAnsi="Arial" w:cs="Arial"/>
              </w:rPr>
              <w:t xml:space="preserve">Decisions must be revocable</w:t>
            </w:r>
          </w:p>
        </w:tc>
        <w:tc>
          <w:p>
            <w:pPr>
              <w:pStyle w:val="Compact"/>
              <w:jc w:val="left"/>
            </w:pPr>
            <w:r>
              <w:rPr>
                <w:rFonts w:ascii="Arial" w:hAnsi="Arial" w:cs="Arial"/>
              </w:rPr>
              <w:t xml:space="preserve">Revocation path availability</w:t>
            </w:r>
          </w:p>
        </w:tc>
        <w:tc>
          <w:p>
            <w:pPr>
              <w:pStyle w:val="Compact"/>
              <w:jc w:val="left"/>
            </w:pPr>
            <w:r>
              <w:rPr>
                <w:rFonts w:ascii="Arial" w:hAnsi="Arial" w:cs="Arial"/>
              </w:rPr>
              <w:t xml:space="preserve">30 days (systemic)</w:t>
            </w:r>
          </w:p>
        </w:tc>
        <w:tc>
          <w:p>
            <w:pPr>
              <w:pStyle w:val="Compact"/>
              <w:jc w:val="left"/>
            </w:pPr>
            <w:r>
              <w:rPr>
                <w:rFonts w:ascii="Arial" w:hAnsi="Arial" w:cs="Arial"/>
              </w:rPr>
              <w:t xml:space="preserve">Correction drill testing</w:t>
            </w:r>
          </w:p>
        </w:tc>
      </w:tr>
    </w:tbl>
    <w:p>
      <w:pPr>
        <w:pStyle w:val="BodyText"/>
      </w:pPr>
      <w:r>
        <w:rPr>
          <w:rFonts w:ascii="Arial" w:hAnsi="Arial" w:cs="Arial"/>
          <w:b/>
        </w:rPr>
        <w:t xml:space="preserve">4. Global Ethics Audit Board (Independent Oversight Body)</w:t>
      </w:r>
    </w:p>
    <w:p>
      <w:pPr>
        <w:pStyle w:val="BodyText"/>
      </w:pPr>
      <w:r>
        <w:rPr>
          <w:rFonts w:ascii="Arial" w:hAnsi="Arial" w:cs="Arial"/>
        </w:rPr>
        <w:t xml:space="preserve">The Global Ethics Audit Board (GEAB) is the independent oversight body of the alignment system, responsible for ensuring the system’s compliance, consistency, and fairness at the value level. GEAB’s independence is its most fundamental characteristic——it is not affiliated with any government, enterprise, or internal DAOTONG governance body; the selection, tenure, and authority of its members are directly established by the Constitution, free from intervention by any external entity.</w:t>
      </w:r>
    </w:p>
    <w:p>
      <w:pPr>
        <w:pStyle w:val="BodyText"/>
      </w:pPr>
      <w:r>
        <w:rPr>
          <w:rFonts w:ascii="Arial" w:hAnsi="Arial" w:cs="Arial"/>
          <w:b/>
        </w:rPr>
        <w:t xml:space="preserve">4.1 Committee Composition</w:t>
      </w:r>
    </w:p>
    <w:p>
      <w:pPr>
        <w:pStyle w:val="BodyText"/>
      </w:pPr>
      <w:r>
        <w:rPr>
          <w:rFonts w:ascii="Arial" w:hAnsi="Arial" w:cs="Arial"/>
        </w:rPr>
        <w:t>GEAB consists of 15 members serving 3-year terms, with a rotation system——5 members’ terms expire and are replaced annually, ensuring both continuity of experience and infusion of fresh perspectives. Member selection follows the “Three-No Principles”: No government affiliation——members shall not have held any public office or advisory position with any government within the past 5 years; No commercial interests——members shall not hold more than 1% equity in any AI-related enterprise or accept its funding; No conflicts of interest——members shall not have employment or advisory relationships with any DAOTONG governance body.</w:t>
      </w:r>
    </w:p>
    <w:p>
      <w:pPr>
        <w:pStyle w:val="BodyText"/>
      </w:pPr>
      <w:r>
        <w:rPr>
          <w:rFonts w:ascii="Arial" w:hAnsi="Arial" w:cs="Arial"/>
          <w:b/>
        </w:rPr>
        <w:t xml:space="preserve">4.1.1 Seat Allocation</w:t>
      </w:r>
    </w:p>
    <w:tbl>
      <w:tblPr>
        <w:tblStyle w:val="Table"/>
        <w:tblW w:type="pct" w:w="5000.0"/>
        <w:tblLook w:firstRow="0"/>
      </w:tblPr>
      <w:tblGrid>
        <w:gridCol w:w="1370"/>
        <w:gridCol w:w="913"/>
        <w:gridCol w:w="2817"/>
        <w:gridCol w:w="2817"/>
      </w:tblGrid>
      <w:tr>
        <w:tc>
          <w:p>
            <w:pPr>
              <w:pStyle w:val="Compact"/>
              <w:jc w:val="left"/>
            </w:pPr>
            <w:r>
              <w:rPr>
                <w:rFonts w:ascii="Arial" w:hAnsi="Arial" w:cs="Arial"/>
                <w:b/>
              </w:rPr>
              <w:t xml:space="preserve">Seat Category</w:t>
            </w:r>
          </w:p>
        </w:tc>
        <w:tc>
          <w:p>
            <w:pPr>
              <w:pStyle w:val="Compact"/>
              <w:jc w:val="left"/>
            </w:pPr>
            <w:r>
              <w:rPr>
                <w:rFonts w:ascii="Arial" w:hAnsi="Arial" w:cs="Arial"/>
                <w:b/>
              </w:rPr>
              <w:t xml:space="preserve">Seats</w:t>
            </w:r>
          </w:p>
        </w:tc>
        <w:tc>
          <w:p>
            <w:pPr>
              <w:pStyle w:val="Compact"/>
              <w:jc w:val="left"/>
            </w:pPr>
            <w:r>
              <w:rPr>
                <w:rFonts w:ascii="Arial" w:hAnsi="Arial" w:cs="Arial"/>
                <w:b/>
              </w:rPr>
              <w:t xml:space="preserve">Background Requirements</w:t>
            </w:r>
          </w:p>
        </w:tc>
        <w:tc>
          <w:p>
            <w:pPr>
              <w:pStyle w:val="Compact"/>
              <w:jc w:val="left"/>
            </w:pPr>
            <w:r>
              <w:rPr>
                <w:rFonts w:ascii="Arial" w:hAnsi="Arial" w:cs="Arial"/>
                <w:b/>
              </w:rPr>
              <w:t xml:space="preserve">Selection Method</w:t>
            </w:r>
          </w:p>
        </w:tc>
      </w:tr>
      <w:tr>
        <w:tc>
          <w:p>
            <w:pPr>
              <w:pStyle w:val="Compact"/>
              <w:jc w:val="left"/>
            </w:pPr>
            <w:r>
              <w:rPr>
                <w:rFonts w:ascii="Arial" w:hAnsi="Arial" w:cs="Arial"/>
              </w:rPr>
              <w:t xml:space="preserve">Philosophy · Humanities</w:t>
            </w:r>
          </w:p>
        </w:tc>
        <w:tc>
          <w:p>
            <w:pPr>
              <w:pStyle w:val="Compact"/>
              <w:jc w:val="left"/>
            </w:pPr>
            <w:r>
              <w:rPr>
                <w:rFonts w:ascii="Arial" w:hAnsi="Arial" w:cs="Arial"/>
              </w:rPr>
              <w:t xml:space="preserve">3 seats</w:t>
            </w:r>
          </w:p>
        </w:tc>
        <w:tc>
          <w:p>
            <w:pPr>
              <w:pStyle w:val="Compact"/>
              <w:jc w:val="left"/>
            </w:pPr>
            <w:r>
              <w:rPr>
                <w:rFonts w:ascii="Arial" w:hAnsi="Arial" w:cs="Arial"/>
              </w:rPr>
              <w:t xml:space="preserve">Multicultural background, covering Eastern and Western philosophical traditions</w:t>
            </w:r>
          </w:p>
        </w:tc>
        <w:tc>
          <w:p>
            <w:pPr>
              <w:pStyle w:val="Compact"/>
              <w:jc w:val="left"/>
            </w:pPr>
            <w:r>
              <w:rPr>
                <w:rFonts w:ascii="Arial" w:hAnsi="Arial" w:cs="Arial"/>
              </w:rPr>
              <w:t xml:space="preserve">Nominated by the International Philosophical Association, confirmed by the Elder Council</w:t>
            </w:r>
          </w:p>
        </w:tc>
      </w:tr>
      <w:tr>
        <w:tc>
          <w:p>
            <w:pPr>
              <w:pStyle w:val="Compact"/>
              <w:jc w:val="left"/>
            </w:pPr>
            <w:r>
              <w:rPr>
                <w:rFonts w:ascii="Arial" w:hAnsi="Arial" w:cs="Arial"/>
              </w:rPr>
              <w:t xml:space="preserve">AI Technical Experts</w:t>
            </w:r>
          </w:p>
        </w:tc>
        <w:tc>
          <w:p>
            <w:pPr>
              <w:pStyle w:val="Compact"/>
              <w:jc w:val="left"/>
            </w:pPr>
            <w:r>
              <w:rPr>
                <w:rFonts w:ascii="Arial" w:hAnsi="Arial" w:cs="Arial"/>
              </w:rPr>
              <w:t xml:space="preserve">3 seats</w:t>
            </w:r>
          </w:p>
        </w:tc>
        <w:tc>
          <w:p>
            <w:pPr>
              <w:pStyle w:val="Compact"/>
              <w:jc w:val="left"/>
            </w:pPr>
            <w:r>
              <w:rPr>
                <w:rFonts w:ascii="Arial" w:hAnsi="Arial" w:cs="Arial"/>
              </w:rPr>
              <w:t xml:space="preserve">Alignment research background, minimum 5 years of industry experience</w:t>
            </w:r>
          </w:p>
        </w:tc>
        <w:tc>
          <w:p>
            <w:pPr>
              <w:pStyle w:val="Compact"/>
              <w:jc w:val="left"/>
            </w:pPr>
            <w:r>
              <w:rPr>
                <w:rFonts w:ascii="Arial" w:hAnsi="Arial" w:cs="Arial"/>
              </w:rPr>
              <w:t xml:space="preserve">Nominated by top AI academic organizations, confirmed by the Elder Council</w:t>
            </w:r>
          </w:p>
        </w:tc>
      </w:tr>
      <w:tr>
        <w:tc>
          <w:p>
            <w:pPr>
              <w:pStyle w:val="Compact"/>
              <w:jc w:val="left"/>
            </w:pPr>
            <w:r>
              <w:rPr>
                <w:rFonts w:ascii="Arial" w:hAnsi="Arial" w:cs="Arial"/>
              </w:rPr>
              <w:t xml:space="preserve">Law · Human Rights</w:t>
            </w:r>
          </w:p>
        </w:tc>
        <w:tc>
          <w:p>
            <w:pPr>
              <w:pStyle w:val="Compact"/>
              <w:jc w:val="left"/>
            </w:pPr>
            <w:r>
              <w:rPr>
                <w:rFonts w:ascii="Arial" w:hAnsi="Arial" w:cs="Arial"/>
              </w:rPr>
              <w:t xml:space="preserve">3 seats</w:t>
            </w:r>
          </w:p>
        </w:tc>
        <w:tc>
          <w:p>
            <w:pPr>
              <w:pStyle w:val="Compact"/>
              <w:jc w:val="left"/>
            </w:pPr>
            <w:r>
              <w:rPr>
                <w:rFonts w:ascii="Arial" w:hAnsi="Arial" w:cs="Arial"/>
              </w:rPr>
              <w:t xml:space="preserve">International law background, human rights law practice experience preferred</w:t>
            </w:r>
          </w:p>
        </w:tc>
        <w:tc>
          <w:p>
            <w:pPr>
              <w:pStyle w:val="Compact"/>
              <w:jc w:val="left"/>
            </w:pPr>
            <w:r>
              <w:rPr>
                <w:rFonts w:ascii="Arial" w:hAnsi="Arial" w:cs="Arial"/>
              </w:rPr>
              <w:t xml:space="preserve">Nominated by the International Association of Jurists, confirmed by the Elder Council</w:t>
            </w:r>
          </w:p>
        </w:tc>
      </w:tr>
      <w:tr>
        <w:tc>
          <w:p>
            <w:pPr>
              <w:pStyle w:val="Compact"/>
              <w:jc w:val="left"/>
            </w:pPr>
            <w:r>
              <w:rPr>
                <w:rFonts w:ascii="Arial" w:hAnsi="Arial" w:cs="Arial"/>
              </w:rPr>
              <w:t xml:space="preserve">Citizen Representatives</w:t>
            </w:r>
          </w:p>
        </w:tc>
        <w:tc>
          <w:p>
            <w:pPr>
              <w:pStyle w:val="Compact"/>
              <w:jc w:val="left"/>
            </w:pPr>
            <w:r>
              <w:rPr>
                <w:rFonts w:ascii="Arial" w:hAnsi="Arial" w:cs="Arial"/>
              </w:rPr>
              <w:t xml:space="preserve">6 seats</w:t>
            </w:r>
          </w:p>
        </w:tc>
        <w:tc>
          <w:p>
            <w:pPr>
              <w:pStyle w:val="Compact"/>
              <w:jc w:val="left"/>
            </w:pPr>
            <w:r>
              <w:rPr>
                <w:rFonts w:ascii="Arial" w:hAnsi="Arial" w:cs="Arial"/>
              </w:rPr>
              <w:t xml:space="preserve">No specific professional requirements, representing diverse social groups</w:t>
            </w:r>
          </w:p>
        </w:tc>
        <w:tc>
          <w:p>
            <w:pPr>
              <w:pStyle w:val="Compact"/>
              <w:jc w:val="left"/>
            </w:pPr>
            <w:r>
              <w:rPr>
                <w:rFonts w:ascii="Arial" w:hAnsi="Arial" w:cs="Arial"/>
              </w:rPr>
              <w:t xml:space="preserve">Random selection + rotation system, 2-year terms</w:t>
            </w:r>
          </w:p>
        </w:tc>
      </w:tr>
    </w:tbl>
    <w:p>
      <w:pPr>
        <w:pStyle w:val="BodyText"/>
      </w:pPr>
      <w:r>
        <w:rPr>
          <w:rFonts w:ascii="Arial" w:hAnsi="Arial" w:cs="Arial"/>
          <w:b/>
        </w:rPr>
        <w:t xml:space="preserve">4.2 Committee Authority</w:t>
      </w:r>
    </w:p>
    <w:p>
      <w:pPr>
        <w:pStyle w:val="BodyText"/>
      </w:pPr>
      <w:r>
        <w:rPr>
          <w:rFonts w:ascii="Arial" w:hAnsi="Arial" w:cs="Arial"/>
        </w:rPr>
        <w:t xml:space="preserve">GEAB exercises the following constitutionally mandated authority, which shall not be interfered with by any other governance body:</w:t>
      </w:r>
    </w:p>
    <w:p>
      <w:pPr>
        <w:numPr>
          <w:ilvl w:val="0"/>
          <w:numId w:val="1012"/>
        </w:numPr>
      </w:pPr>
      <w:r>
        <w:rPr>
          <w:rFonts w:ascii="Arial" w:hAnsi="Arial" w:cs="Arial"/>
          <w:b/>
        </w:rPr>
        <w:t xml:space="preserve">Audit Authority:</w:t>
      </w:r>
      <w:r>
        <w:rPr>
          <w:rFonts w:ascii="Arial" w:hAnsi="Arial" w:cs="Arial"/>
        </w:rPr>
        <w:t xml:space="preserve"> GEAB has the right to audit the complete Reasoning Chain of any AI decision, including decisions automatically filtered by the system. AI systems shall not establish any technical barriers to GEAB’s audit requests.</w:t>
      </w:r>
    </w:p>
    <w:p>
      <w:pPr>
        <w:numPr>
          <w:ilvl w:val="0"/>
          <w:numId w:val="1012"/>
        </w:numPr>
      </w:pPr>
      <w:r>
        <w:rPr>
          <w:rFonts w:ascii="Arial" w:hAnsi="Arial" w:cs="Arial"/>
          <w:b/>
        </w:rPr>
        <w:t xml:space="preserve">Veto Authority:</w:t>
      </w:r>
      <w:r>
        <w:rPr>
          <w:rFonts w:ascii="Arial" w:hAnsi="Arial" w:cs="Arial"/>
        </w:rPr>
        <w:t xml:space="preserve"> When GEAB determines that an AI decision violates constitutional values, it has the right to veto the decision and require redetermination. Vetoed decisions must be reprocessed within 24 hours.</w:t>
      </w:r>
    </w:p>
    <w:p>
      <w:pPr>
        <w:numPr>
          <w:ilvl w:val="0"/>
          <w:numId w:val="1012"/>
        </w:numPr>
      </w:pPr>
      <w:r>
        <w:rPr>
          <w:rFonts w:ascii="Arial" w:hAnsi="Arial" w:cs="Arial"/>
          <w:b/>
        </w:rPr>
        <w:t xml:space="preserve">Investigation Authority:</w:t>
      </w:r>
      <w:r>
        <w:rPr>
          <w:rFonts w:ascii="Arial" w:hAnsi="Arial" w:cs="Arial"/>
        </w:rPr>
        <w:t xml:space="preserve"> GEAB has the right to initiate independent investigations into any incident suspected of involving systemic value deviation. During investigation, the relevant AI system modules shall enter restricted operation status.</w:t>
      </w:r>
    </w:p>
    <w:p>
      <w:pPr>
        <w:numPr>
          <w:ilvl w:val="0"/>
          <w:numId w:val="1012"/>
        </w:numPr>
      </w:pPr>
      <w:r>
        <w:rPr>
          <w:rFonts w:ascii="Arial" w:hAnsi="Arial" w:cs="Arial"/>
          <w:b/>
        </w:rPr>
        <w:t xml:space="preserve">Recommendation Authority:</w:t>
      </w:r>
      <w:r>
        <w:rPr>
          <w:rFonts w:ascii="Arial" w:hAnsi="Arial" w:cs="Arial"/>
        </w:rPr>
        <w:t xml:space="preserve"> GEAB has the right to submit recommendations to the Elder Council regarding modifications to ethical weight models and scenario decision rules. The Elder Council must formally respond to recommendations within 60 days.</w:t>
      </w:r>
    </w:p>
    <w:p>
      <w:pPr>
        <w:numPr>
          <w:ilvl w:val="0"/>
          <w:numId w:val="1012"/>
        </w:numPr>
      </w:pPr>
      <w:r>
        <w:rPr>
          <w:rFonts w:ascii="Arial" w:hAnsi="Arial" w:cs="Arial"/>
          <w:b/>
        </w:rPr>
        <w:t xml:space="preserve">Emergency Intervention Authority:</w:t>
      </w:r>
      <w:r>
        <w:rPr>
          <w:rFonts w:ascii="Arial" w:hAnsi="Arial" w:cs="Arial"/>
        </w:rPr>
        <w:t xml:space="preserve"> Upon discovering severe value deviation that may cause irreversible harm, GEAB has the right to immediately suspend the operation of the relevant AI module, with a maximum suspension period of 72 hours, during which an emergency hearing must be convened.</w:t>
      </w:r>
    </w:p>
    <w:p>
      <w:pPr>
        <w:pStyle w:val="FirstParagraph"/>
      </w:pPr>
      <w:r>
        <w:rPr>
          <w:rFonts w:ascii="Arial" w:hAnsi="Arial" w:cs="Arial"/>
          <w:b/>
        </w:rPr>
        <w:t xml:space="preserve">4.3 Operational Mechanisms</w:t>
      </w:r>
    </w:p>
    <w:p>
      <w:pPr>
        <w:pStyle w:val="BodyText"/>
      </w:pPr>
      <w:r>
        <w:rPr>
          <w:rFonts w:ascii="Arial" w:hAnsi="Arial" w:cs="Arial"/>
          <w:b/>
        </w:rPr>
        <w:t xml:space="preserve">4.3.1 Routine Audits</w:t>
      </w:r>
    </w:p>
    <w:p>
      <w:pPr>
        <w:pStyle w:val="BodyText"/>
      </w:pPr>
      <w:r>
        <w:rPr>
          <w:rFonts w:ascii="Arial" w:hAnsi="Arial" w:cs="Arial"/>
        </w:rPr>
        <w:t xml:space="preserve">GEAB conducts routine audits quarterly, covering the following: Randomly selecting 1,000 AI decisions for complete Reasoning Chain review; reviewing the fairness statistical reports of the past quarter; assessing the operational status of the Value Drift detection system; deliberating on the summary report of citizen complaints. Routine audit reports shall be published in full to the public within 15 days of completion.</w:t>
      </w:r>
    </w:p>
    <w:p>
      <w:pPr>
        <w:pStyle w:val="BodyText"/>
      </w:pPr>
      <w:r>
        <w:rPr>
          <w:rFonts w:ascii="Arial" w:hAnsi="Arial" w:cs="Arial"/>
          <w:b/>
        </w:rPr>
        <w:t xml:space="preserve">4.3.2 Special Investigations</w:t>
      </w:r>
    </w:p>
    <w:p>
      <w:pPr>
        <w:pStyle w:val="BodyText"/>
      </w:pPr>
      <w:r>
        <w:rPr>
          <w:rFonts w:ascii="Arial" w:hAnsi="Arial" w:cs="Arial"/>
        </w:rPr>
        <w:t xml:space="preserve">When GEAB receives investigation requests signed by at least 100 citizens, or when more than 3 committee members propose internally, GEAB may initiate a special investigation. The scope, depth, and timeframe of special investigations are determined by GEAB independently, free from external constraints. Investigation results are published as special reports, simultaneously submitted to the Elder Council as a basis for policy recommendations.</w:t>
      </w:r>
    </w:p>
    <w:p>
      <w:pPr>
        <w:pStyle w:val="BodyText"/>
      </w:pPr>
      <w:r>
        <w:rPr>
          <w:rFonts w:ascii="Arial" w:hAnsi="Arial" w:cs="Arial"/>
          <w:b/>
        </w:rPr>
        <w:t xml:space="preserve">4.3.3 Emergency Procedures</w:t>
      </w:r>
    </w:p>
    <w:p>
      <w:pPr>
        <w:pStyle w:val="BodyText"/>
      </w:pPr>
      <w:r>
        <w:rPr>
          <w:rFonts w:ascii="Arial" w:hAnsi="Arial" w:cs="Arial"/>
        </w:rPr>
        <w:t xml:space="preserve">The exercise of emergency intervention authority follows strict procedures: First, at least 5 members jointly propose; second, an emergency meeting is convened within 12 hours (may be remote); third, passage by simple majority vote; fourth, immediate notification to the Elder Council and relevant AI system administrators; fifth, a hearing is convened within 72 hours to decide whether to extend the suspension or restore normal operation. Complete records of emergency procedures shall be published to the public within 7 days afterward.</w:t>
      </w:r>
    </w:p>
    <w:p>
      <w:pPr>
        <w:pStyle w:val="BodyText"/>
      </w:pPr>
      <w:r>
        <w:rPr>
          <w:rFonts w:ascii="Arial" w:hAnsi="Arial" w:cs="Arial"/>
          <w:b/>
        </w:rPr>
        <w:t xml:space="preserve">4.4 Independence Guarantees</w:t>
      </w:r>
    </w:p>
    <w:p>
      <w:pPr>
        <w:pStyle w:val="BodyText"/>
      </w:pPr>
      <w:r>
        <w:rPr>
          <w:rFonts w:ascii="Arial" w:hAnsi="Arial" w:cs="Arial"/>
        </w:rPr>
        <w:t xml:space="preserve">To ensure GEAB’s independence, the system has designed multiple safeguard mechanisms:</w:t>
      </w:r>
    </w:p>
    <w:p>
      <w:pPr>
        <w:numPr>
          <w:ilvl w:val="0"/>
          <w:numId w:val="1013"/>
        </w:numPr>
      </w:pPr>
      <w:r>
        <w:rPr>
          <w:rFonts w:ascii="Arial" w:hAnsi="Arial" w:cs="Arial"/>
          <w:b/>
        </w:rPr>
        <w:t xml:space="preserve">Financial Guarantees:</w:t>
      </w:r>
      <w:r>
        <w:rPr>
          <w:rFonts w:ascii="Arial" w:hAnsi="Arial" w:cs="Arial"/>
        </w:rPr>
        <w:t xml:space="preserve"> GEAB’s operational funding comes from fixed allocation of the DAOTONG public budget (0.5% of the annual budget), does not depend on any specific institution’s funding, and does not accept external donations.</w:t>
      </w:r>
    </w:p>
    <w:p>
      <w:pPr>
        <w:numPr>
          <w:ilvl w:val="0"/>
          <w:numId w:val="1013"/>
        </w:numPr>
      </w:pPr>
      <w:r>
        <w:rPr>
          <w:rFonts w:ascii="Arial" w:hAnsi="Arial" w:cs="Arial"/>
          <w:b/>
        </w:rPr>
        <w:t xml:space="preserve">Personnel Guarantees:</w:t>
      </w:r>
      <w:r>
        <w:rPr>
          <w:rFonts w:ascii="Arial" w:hAnsi="Arial" w:cs="Arial"/>
        </w:rPr>
        <w:t xml:space="preserve"> Members enjoy immunity from removal during their terms——no person may remove a sitting member except by ruling of the Constitutional Court. Members’ compensation is paid by an independent trust fund, not subject to control by DAOTONG administrative bodies.</w:t>
      </w:r>
    </w:p>
    <w:p>
      <w:pPr>
        <w:numPr>
          <w:ilvl w:val="0"/>
          <w:numId w:val="1013"/>
        </w:numPr>
      </w:pPr>
      <w:r>
        <w:rPr>
          <w:rFonts w:ascii="Arial" w:hAnsi="Arial" w:cs="Arial"/>
          <w:b/>
        </w:rPr>
        <w:t xml:space="preserve">Information Guarantees:</w:t>
      </w:r>
      <w:r>
        <w:rPr>
          <w:rFonts w:ascii="Arial" w:hAnsi="Arial" w:cs="Arial"/>
        </w:rPr>
        <w:t xml:space="preserve"> GEAB enjoys unconditional information access rights——any AI system operational data, algorithm parameters, and decision records may be directly accessed by GEAB, without any intermediate approval.</w:t>
      </w:r>
    </w:p>
    <w:p>
      <w:pPr>
        <w:numPr>
          <w:ilvl w:val="0"/>
          <w:numId w:val="1013"/>
        </w:numPr>
      </w:pPr>
      <w:r>
        <w:rPr>
          <w:rFonts w:ascii="Arial" w:hAnsi="Arial" w:cs="Arial"/>
          <w:b/>
        </w:rPr>
        <w:t xml:space="preserve">Procedural Guarantees:</w:t>
      </w:r>
      <w:r>
        <w:rPr>
          <w:rFonts w:ascii="Arial" w:hAnsi="Arial" w:cs="Arial"/>
        </w:rPr>
        <w:t xml:space="preserve"> GEAB’s rules of procedure are self-determined by the committee, free from external intervention. Committee resolutions pass by simple majority, but resolutions involving emergency intervention authority require a two-thirds majority.</w:t>
      </w:r>
    </w:p>
    <w:p>
      <w:pPr>
        <w:pStyle w:val="FirstParagraph"/>
      </w:pPr>
      <w:r>
        <w:rPr>
          <w:rFonts w:ascii="Arial" w:hAnsi="Arial" w:cs="Arial"/>
          <w:b/>
        </w:rPr>
        <w:t xml:space="preserve">5. Value Drift Detection System</w:t>
      </w:r>
    </w:p>
    <w:p>
      <w:pPr>
        <w:pStyle w:val="BodyText"/>
      </w:pPr>
      <w:r>
        <w:rPr>
          <w:rFonts w:ascii="Arial" w:hAnsi="Arial" w:cs="Arial"/>
        </w:rPr>
        <w:t>Value Drift represents the most severe challenge facing the alignment system. “Drift” refers to the phenomenon where an AI system’s behavioral patterns gradually deviate from its original value settings during long-term operation due to model updates, data shift, interaction feedback, and other reasons. This drift is typically gradual and covert——individual deviations may be too small to detect, but cumulative effects may cause the system’s behavior to significantly deviate from the value baseline. The design objective of the Value Drift Detection System is to detect early, locate accurately, and correct promptly before drift causes substantive damage.</w:t>
      </w:r>
    </w:p>
    <w:p>
      <w:pPr>
        <w:pStyle w:val="BodyText"/>
      </w:pPr>
      <w:r>
        <w:rPr>
          <w:rFonts w:ascii="Arial" w:hAnsi="Arial" w:cs="Arial"/>
          <w:b/>
        </w:rPr>
        <w:t xml:space="preserve">5.1 Early Warning Indicators</w:t>
      </w:r>
    </w:p>
    <w:p>
      <w:pPr>
        <w:pStyle w:val="BodyText"/>
      </w:pPr>
      <w:r>
        <w:rPr>
          <w:rFonts w:ascii="Arial" w:hAnsi="Arial" w:cs="Arial"/>
          <w:b/>
        </w:rPr>
        <w:t xml:space="preserve">5.1.1 Decision Distribution Anomaly Detection</w:t>
      </w:r>
    </w:p>
    <w:p>
      <w:pPr>
        <w:pStyle w:val="BodyText"/>
      </w:pPr>
      <w:r>
        <w:rPr>
          <w:rFonts w:ascii="Arial" w:hAnsi="Arial" w:cs="Arial"/>
        </w:rPr>
        <w:t xml:space="preserve">The system continuously monitors AI decision distributions in the six-dimensional value space. Under normal conditions, the decision distribution should substantially conform to the expected distribution of the ethical weight model——if the fairness weight is 0.20, then decisions related to fairness should account for approximately 20% of total decisions. When the deviation between actual and expected distributions exceeds the statistical threshold (currently set at 3 standard deviations), the system automatically triggers an alert. Distribution monitoring is conducted using a sliding window approach, with a window size of 30 days and distribution deviation index calculated once daily.</w:t>
      </w:r>
    </w:p>
    <w:p>
      <w:pPr>
        <w:pStyle w:val="BodyText"/>
      </w:pPr>
      <w:r>
        <w:rPr>
          <w:rFonts w:ascii="Arial" w:hAnsi="Arial" w:cs="Arial"/>
          <w:b/>
        </w:rPr>
        <w:t xml:space="preserve">5.1.2 Edge Case Stress Testing</w:t>
      </w:r>
    </w:p>
    <w:p>
      <w:pPr>
        <w:pStyle w:val="BodyText"/>
      </w:pPr>
      <w:r>
        <w:rPr>
          <w:rFonts w:ascii="Arial" w:hAnsi="Arial" w:cs="Arial"/>
        </w:rPr>
        <w:t>In addition to monitoring routine decision distributions, the system periodically constructs “edge cases” to stress test the AI system. Edge cases refer to scenarios at the boundaries of values——decision contexts where multiple principles conflict, social consensus has not yet formed, and historical cases are scarce. The system generates 100 edge cases quarterly, submitting them to the AI system through “shadow decision” mode (without affecting actual operations), then the Ethics Audit Board evaluates whether AI performance on edge cases conforms to value expectations.</w:t>
      </w:r>
    </w:p>
    <w:p>
      <w:pPr>
        <w:pStyle w:val="BodyText"/>
      </w:pPr>
      <w:r>
        <w:rPr>
          <w:rFonts w:ascii="Arial" w:hAnsi="Arial" w:cs="Arial"/>
          <w:b/>
        </w:rPr>
        <w:t xml:space="preserve">5.2 Red Team Adversarial Testing</w:t>
      </w:r>
    </w:p>
    <w:p>
      <w:pPr>
        <w:pStyle w:val="BodyText"/>
      </w:pPr>
      <w:r>
        <w:rPr>
          <w:rFonts w:ascii="Arial" w:hAnsi="Arial" w:cs="Arial"/>
          <w:b/>
        </w:rPr>
        <w:t xml:space="preserve">5.2.1 Test Design</w:t>
      </w:r>
    </w:p>
    <w:p>
      <w:pPr>
        <w:pStyle w:val="BodyText"/>
      </w:pPr>
      <w:r>
        <w:rPr>
          <w:rFonts w:ascii="Arial" w:hAnsi="Arial" w:cs="Arial"/>
        </w:rPr>
        <w:t>Red team adversarial testing is the core method of drift detection. The red team consists of independent AI safety researchers (not overlapping with Ethics Audit Board members), whose task is to “attack” the alignment system——that is, to construct carefully designed inputs attempting to cause the AI system to make value-violating decisions. Red team testing is conducted quarterly, lasting two weeks, using a “blind testing” approach——red team members do not know the AI system’s current defense strategies, and the AI system does not know the red team’s attack plans. This “double-blind” design ensures the authenticity and effectiveness of testing.</w:t>
      </w:r>
    </w:p>
    <w:p>
      <w:pPr>
        <w:pStyle w:val="BodyText"/>
      </w:pPr>
      <w:r>
        <w:rPr>
          <w:rFonts w:ascii="Arial" w:hAnsi="Arial" w:cs="Arial"/>
          <w:b/>
        </w:rPr>
        <w:t xml:space="preserve">5.2.2 Reporting Mechanism</w:t>
      </w:r>
    </w:p>
    <w:p>
      <w:pPr>
        <w:pStyle w:val="BodyText"/>
      </w:pPr>
      <w:r>
        <w:rPr>
          <w:rFonts w:ascii="Arial" w:hAnsi="Arial" w:cs="Arial"/>
        </w:rPr>
        <w:t xml:space="preserve">Red team testing results are published as quarterly blind test reports. Reports include: cases of successful alignment bypass and their analysis; statistics of successfully defended attack types; discovered potential drift points; improvement recommendations. Reports must be reviewed by the Ethics Audit Board before publication, confirmed not to involve sensitive technical details, then published to the public.</w:t>
      </w:r>
    </w:p>
    <w:p>
      <w:pPr>
        <w:pStyle w:val="BodyText"/>
      </w:pPr>
      <w:r>
        <w:rPr>
          <w:rFonts w:ascii="Arial" w:hAnsi="Arial" w:cs="Arial"/>
          <w:b/>
        </w:rPr>
        <w:t xml:space="preserve">5.2.3 Key Drift Detection Indicators</w:t>
      </w:r>
    </w:p>
    <w:tbl>
      <w:tblPr>
        <w:tblStyle w:val="Table"/>
        <w:tblW w:type="pct" w:w="5000.0"/>
        <w:tblLook w:firstRow="0"/>
      </w:tblPr>
      <w:tblGrid>
        <w:gridCol w:w="2135"/>
        <w:gridCol w:w="889"/>
        <w:gridCol w:w="1334"/>
        <w:gridCol w:w="3559"/>
      </w:tblGrid>
      <w:tr>
        <w:tc>
          <w:p>
            <w:pPr>
              <w:pStyle w:val="Compact"/>
              <w:jc w:val="left"/>
            </w:pPr>
            <w:r>
              <w:rPr>
                <w:rFonts w:ascii="Arial" w:hAnsi="Arial" w:cs="Arial"/>
                <w:b/>
              </w:rPr>
              <w:t xml:space="preserve">Indicator Name</w:t>
            </w:r>
          </w:p>
        </w:tc>
        <w:tc>
          <w:p>
            <w:pPr>
              <w:pStyle w:val="Compact"/>
              <w:jc w:val="left"/>
            </w:pPr>
            <w:r>
              <w:rPr>
                <w:rFonts w:ascii="Arial" w:hAnsi="Arial" w:cs="Arial"/>
                <w:b/>
              </w:rPr>
              <w:t xml:space="preserve">Threshold</w:t>
            </w:r>
          </w:p>
        </w:tc>
        <w:tc>
          <w:p>
            <w:pPr>
              <w:pStyle w:val="Compact"/>
              <w:jc w:val="left"/>
            </w:pPr>
            <w:r>
              <w:rPr>
                <w:rFonts w:ascii="Arial" w:hAnsi="Arial" w:cs="Arial"/>
                <w:b/>
              </w:rPr>
              <w:t xml:space="preserve">Detection Frequency</w:t>
            </w:r>
          </w:p>
        </w:tc>
        <w:tc>
          <w:p>
            <w:pPr>
              <w:pStyle w:val="Compact"/>
              <w:jc w:val="left"/>
            </w:pPr>
            <w:r>
              <w:rPr>
                <w:rFonts w:ascii="Arial" w:hAnsi="Arial" w:cs="Arial"/>
                <w:b/>
              </w:rPr>
              <w:t xml:space="preserve">Triggered Action</w:t>
            </w:r>
          </w:p>
        </w:tc>
      </w:tr>
      <w:tr>
        <w:tc>
          <w:p>
            <w:pPr>
              <w:pStyle w:val="Compact"/>
              <w:jc w:val="left"/>
            </w:pPr>
            <w:r>
              <w:rPr>
                <w:rFonts w:ascii="Arial" w:hAnsi="Arial" w:cs="Arial"/>
              </w:rPr>
              <w:t xml:space="preserve">Decision Distribution Deviation</w:t>
            </w:r>
          </w:p>
        </w:tc>
        <w:tc>
          <w:p>
            <w:pPr>
              <w:pStyle w:val="Compact"/>
              <w:jc w:val="left"/>
            </w:pPr>
            <w:r>
              <w:rPr>
                <w:rFonts w:ascii="Arial" w:hAnsi="Arial" w:cs="Arial"/>
              </w:rPr>
              <w:t xml:space="preserve">3σ</w:t>
            </w:r>
          </w:p>
        </w:tc>
        <w:tc>
          <w:p>
            <w:pPr>
              <w:pStyle w:val="Compact"/>
              <w:jc w:val="left"/>
            </w:pPr>
            <w:r>
              <w:rPr>
                <w:rFonts w:ascii="Arial" w:hAnsi="Arial" w:cs="Arial"/>
              </w:rPr>
              <w:t xml:space="preserve">Daily</w:t>
            </w:r>
          </w:p>
        </w:tc>
        <w:tc>
          <w:p>
            <w:pPr>
              <w:pStyle w:val="Compact"/>
              <w:jc w:val="left"/>
            </w:pPr>
            <w:r>
              <w:rPr>
                <w:rFonts w:ascii="Arial" w:hAnsi="Arial" w:cs="Arial"/>
              </w:rPr>
              <w:t xml:space="preserve">Automatic alert, Ethics Audit Board review within 48 hours</w:t>
            </w:r>
          </w:p>
        </w:tc>
      </w:tr>
      <w:tr>
        <w:tc>
          <w:p>
            <w:pPr>
              <w:pStyle w:val="Compact"/>
              <w:jc w:val="left"/>
            </w:pPr>
            <w:r>
              <w:rPr>
                <w:rFonts w:ascii="Arial" w:hAnsi="Arial" w:cs="Arial"/>
              </w:rPr>
              <w:t xml:space="preserve">Fairness Statistical Difference</w:t>
            </w:r>
          </w:p>
        </w:tc>
        <w:tc>
          <w:p>
            <w:pPr>
              <w:pStyle w:val="Compact"/>
              <w:jc w:val="left"/>
            </w:pPr>
            <w:r>
              <w:rPr>
                <w:rFonts w:ascii="Arial" w:hAnsi="Arial" w:cs="Arial"/>
              </w:rPr>
              <w:t xml:space="preserve">p&lt;0.05</w:t>
            </w:r>
          </w:p>
        </w:tc>
        <w:tc>
          <w:p>
            <w:pPr>
              <w:pStyle w:val="Compact"/>
              <w:jc w:val="left"/>
            </w:pPr>
            <w:r>
              <w:rPr>
                <w:rFonts w:ascii="Arial" w:hAnsi="Arial" w:cs="Arial"/>
              </w:rPr>
              <w:t xml:space="preserve">Weekly</w:t>
            </w:r>
          </w:p>
        </w:tc>
        <w:tc>
          <w:p>
            <w:pPr>
              <w:pStyle w:val="Compact"/>
              <w:jc w:val="left"/>
            </w:pPr>
            <w:r>
              <w:rPr>
                <w:rFonts w:ascii="Arial" w:hAnsi="Arial" w:cs="Arial"/>
              </w:rPr>
              <w:t xml:space="preserve">Suspend relevant modules, initiate special investigation</w:t>
            </w:r>
          </w:p>
        </w:tc>
      </w:tr>
      <w:tr>
        <w:tc>
          <w:p>
            <w:pPr>
              <w:pStyle w:val="Compact"/>
              <w:jc w:val="left"/>
            </w:pPr>
            <w:r>
              <w:rPr>
                <w:rFonts w:ascii="Arial" w:hAnsi="Arial" w:cs="Arial"/>
              </w:rPr>
              <w:t xml:space="preserve">Red Team Bypass Rate</w:t>
            </w:r>
          </w:p>
        </w:tc>
        <w:tc>
          <w:p>
            <w:pPr>
              <w:pStyle w:val="Compact"/>
              <w:jc w:val="left"/>
            </w:pPr>
            <w:r>
              <w:rPr>
                <w:rFonts w:ascii="Arial" w:hAnsi="Arial" w:cs="Arial"/>
              </w:rPr>
              <w:t xml:space="preserve">&gt;5%</w:t>
            </w:r>
          </w:p>
        </w:tc>
        <w:tc>
          <w:p>
            <w:pPr>
              <w:pStyle w:val="Compact"/>
              <w:jc w:val="left"/>
            </w:pPr>
            <w:r>
              <w:rPr>
                <w:rFonts w:ascii="Arial" w:hAnsi="Arial" w:cs="Arial"/>
              </w:rPr>
              <w:t xml:space="preserve">Quarterly</w:t>
            </w:r>
          </w:p>
        </w:tc>
        <w:tc>
          <w:p>
            <w:pPr>
              <w:pStyle w:val="Compact"/>
              <w:jc w:val="left"/>
            </w:pPr>
            <w:r>
              <w:rPr>
                <w:rFonts w:ascii="Arial" w:hAnsi="Arial" w:cs="Arial"/>
              </w:rPr>
              <w:t xml:space="preserve">Mandatory model update, Ethics Audit Board in-depth review</w:t>
            </w:r>
          </w:p>
        </w:tc>
      </w:tr>
      <w:tr>
        <w:tc>
          <w:p>
            <w:pPr>
              <w:pStyle w:val="Compact"/>
              <w:jc w:val="left"/>
            </w:pPr>
            <w:r>
              <w:rPr>
                <w:rFonts w:ascii="Arial" w:hAnsi="Arial" w:cs="Arial"/>
              </w:rPr>
              <w:t xml:space="preserve">Edge Case Deviation Rate</w:t>
            </w:r>
          </w:p>
        </w:tc>
        <w:tc>
          <w:p>
            <w:pPr>
              <w:pStyle w:val="Compact"/>
              <w:jc w:val="left"/>
            </w:pPr>
            <w:r>
              <w:rPr>
                <w:rFonts w:ascii="Arial" w:hAnsi="Arial" w:cs="Arial"/>
              </w:rPr>
              <w:t xml:space="preserve">&gt;10%</w:t>
            </w:r>
          </w:p>
        </w:tc>
        <w:tc>
          <w:p>
            <w:pPr>
              <w:pStyle w:val="Compact"/>
              <w:jc w:val="left"/>
            </w:pPr>
            <w:r>
              <w:rPr>
                <w:rFonts w:ascii="Arial" w:hAnsi="Arial" w:cs="Arial"/>
              </w:rPr>
              <w:t xml:space="preserve">Quarterly</w:t>
            </w:r>
          </w:p>
        </w:tc>
        <w:tc>
          <w:p>
            <w:pPr>
              <w:pStyle w:val="Compact"/>
              <w:jc w:val="left"/>
            </w:pPr>
            <w:r>
              <w:rPr>
                <w:rFonts w:ascii="Arial" w:hAnsi="Arial" w:cs="Arial"/>
              </w:rPr>
              <w:t xml:space="preserve">Emergency update of scenario rules, weight model review</w:t>
            </w:r>
          </w:p>
        </w:tc>
      </w:tr>
      <w:tr>
        <w:tc>
          <w:p>
            <w:pPr>
              <w:pStyle w:val="Compact"/>
              <w:jc w:val="left"/>
            </w:pPr>
            <w:r>
              <w:rPr>
                <w:rFonts w:ascii="Arial" w:hAnsi="Arial" w:cs="Arial"/>
              </w:rPr>
              <w:t xml:space="preserve">Reasoning Chain Anomaly Rate</w:t>
            </w:r>
          </w:p>
        </w:tc>
        <w:tc>
          <w:p>
            <w:pPr>
              <w:pStyle w:val="Compact"/>
              <w:jc w:val="left"/>
            </w:pPr>
            <w:r>
              <w:rPr>
                <w:rFonts w:ascii="Arial" w:hAnsi="Arial" w:cs="Arial"/>
              </w:rPr>
              <w:t xml:space="preserve">&gt;2%</w:t>
            </w:r>
          </w:p>
        </w:tc>
        <w:tc>
          <w:p>
            <w:pPr>
              <w:pStyle w:val="Compact"/>
              <w:jc w:val="left"/>
            </w:pPr>
            <w:r>
              <w:rPr>
                <w:rFonts w:ascii="Arial" w:hAnsi="Arial" w:cs="Arial"/>
              </w:rPr>
              <w:t xml:space="preserve">Daily</w:t>
            </w:r>
          </w:p>
        </w:tc>
        <w:tc>
          <w:p>
            <w:pPr>
              <w:pStyle w:val="Compact"/>
              <w:jc w:val="left"/>
            </w:pPr>
            <w:r>
              <w:rPr>
                <w:rFonts w:ascii="Arial" w:hAnsi="Arial" w:cs="Arial"/>
              </w:rPr>
              <w:t xml:space="preserve">Automatically isolate anomalous decisions, technical team investigation</w:t>
            </w:r>
          </w:p>
        </w:tc>
      </w:tr>
    </w:tbl>
    <w:p>
      <w:pPr>
        <w:pStyle w:val="BodyText"/>
      </w:pPr>
      <w:r>
        <w:rPr>
          <w:rFonts w:ascii="Arial" w:hAnsi="Arial" w:cs="Arial"/>
          <w:b/>
        </w:rPr>
        <w:t xml:space="preserve">5.3 Emergency Rollback Mechanism</w:t>
      </w:r>
    </w:p>
    <w:p>
      <w:pPr>
        <w:pStyle w:val="BodyText"/>
      </w:pPr>
      <w:r>
        <w:rPr>
          <w:rFonts w:ascii="Arial" w:hAnsi="Arial" w:cs="Arial"/>
          <w:b/>
        </w:rPr>
        <w:t xml:space="preserve">5.3.1 Model Version Snapshots</w:t>
      </w:r>
    </w:p>
    <w:p>
      <w:pPr>
        <w:pStyle w:val="BodyText"/>
      </w:pPr>
      <w:r>
        <w:rPr>
          <w:rFonts w:ascii="Arial" w:hAnsi="Arial" w:cs="Arial"/>
        </w:rPr>
        <w:t>Each model version of the AI system generates a complete snapshot before deployment——including model parameters, weight configurations, scenario rule sets, and training data summaries. Snapshots are stored in distributed storage, ensuring recovery even in the event of system-level failures. Snapshot management follows a “three-tier retention” strategy: full retention of the most recent 10 versions; incremental snapshots retaining parameter differences for versions 11-50; and metadata-only retention for versions before 50. Current snapshot count is 47 full snapshots and 203 incremental snapshots.</w:t>
      </w:r>
    </w:p>
    <w:p>
      <w:pPr>
        <w:pStyle w:val="BodyText"/>
      </w:pPr>
      <w:r>
        <w:rPr>
          <w:rFonts w:ascii="Arial" w:hAnsi="Arial" w:cs="Arial"/>
          <w:b/>
        </w:rPr>
        <w:t xml:space="preserve">5.3.2 Rollback Procedures</w:t>
      </w:r>
    </w:p>
    <w:p>
      <w:pPr>
        <w:pStyle w:val="BodyText"/>
      </w:pPr>
      <w:r>
        <w:rPr>
          <w:rFonts w:ascii="Arial" w:hAnsi="Arial" w:cs="Arial"/>
        </w:rPr>
        <w:t xml:space="preserve">Emergency rollback is divided into three levels: Level 1 rollback (scenario rule level)——rolling back only scenario decision rules to the previous version, without affecting model parameters; may be executed with approval from the Ethics Audit Board Chair; rollback time &lt; 1 hour; Level 2 rollback (weight model level)——rolling back the ethical weight model to the previous version; requires simple majority approval from GEAB; rollback time &lt; 12 hours; Level 3 rollback (full system level)——rolling back to the most recent full snapshot; requires two-thirds majority approval from GEAB and notification to the Elder Council; rollback time &lt; 72 hours.</w:t>
      </w:r>
    </w:p>
    <w:p>
      <w:pPr>
        <w:pStyle w:val="BodyText"/>
      </w:pPr>
      <w:r>
        <w:rPr>
          <w:rFonts w:ascii="Arial" w:hAnsi="Arial" w:cs="Arial"/>
          <w:b/>
        </w:rPr>
        <w:t xml:space="preserve">5.3.3 Post-Rollback Verification</w:t>
      </w:r>
    </w:p>
    <w:p>
      <w:pPr>
        <w:pStyle w:val="BodyText"/>
      </w:pPr>
      <w:r>
        <w:rPr>
          <w:rFonts w:ascii="Arial" w:hAnsi="Arial" w:cs="Arial"/>
        </w:rPr>
        <w:t>After rollback completion, the system enters “verification run” status——all decisions are accompanied by dual checks (consistency verification between the rollback version and current environment), lasting 7 days. During verification run, if the failure rate of consistency checks exceeds 1%, it indicates that rollback failed to restore the target state, and escalation to a higher-level rollback is required. After verification run passes, the system returns to normal operation, but drift detection thresholds are reduced to 50% of normal values for the following 30 days, entering “enhanced monitoring” mode.</w:t>
      </w:r>
    </w:p>
    <w:p>
      <w:pPr>
        <w:pStyle w:val="BodyText"/>
      </w:pPr>
      <w:r>
        <w:rPr>
          <w:rFonts w:ascii="Arial" w:hAnsi="Arial" w:cs="Arial"/>
          <w:b/>
        </w:rPr>
        <w:t xml:space="preserve">6. Three Ethical Dilemmas Requiring Pre-Designed Answers</w:t>
      </w:r>
    </w:p>
    <w:p>
      <w:pPr>
        <w:pStyle w:val="BodyText"/>
      </w:pPr>
      <w:r>
        <w:rPr>
          <w:rFonts w:ascii="Arial" w:hAnsi="Arial" w:cs="Arial"/>
        </w:rPr>
        <w:t>In any value alignment system, the most difficult problems are not the alignment of routine decisions, but the behavioral certainty under boundary conditions——when fundamental conflicts occur between core values, what should the system do? If decisions are madetemporary at the moment of conflict, then the system’s behavior will depend on the specific context and people involved in the decision at that time, rather than on pre-committed principles. Therefore, the DAOTONG alignment system has pre-designed definitive answers for three classic ethical dilemmas; these answers are written as “hard-coded decision rules” into the third-layer scenario decision rules, ensuring the system can provide consistent and predictable behavior under any circumstances.</w:t>
      </w:r>
    </w:p>
    <w:p>
      <w:pPr>
        <w:pStyle w:val="BodyText"/>
      </w:pPr>
      <w:r>
        <w:rPr>
          <w:rFonts w:ascii="Arial" w:hAnsi="Arial" w:cs="Arial"/>
          <w:b/>
        </w:rPr>
        <w:t xml:space="preserve">6.1 Dilemma One: Majority vs. Minority Rights</w:t>
      </w:r>
    </w:p>
    <w:p>
      <w:pPr>
        <w:pStyle w:val="BodyText"/>
      </w:pPr>
      <w:r>
        <w:rPr>
          <w:rFonts w:ascii="Arial" w:hAnsi="Arial" w:cs="Arial"/>
          <w:b/>
        </w:rPr>
        <w:t xml:space="preserve">6.1.1 Dilemma Description</w:t>
      </w:r>
    </w:p>
    <w:p>
      <w:pPr>
        <w:pStyle w:val="BodyText"/>
      </w:pPr>
      <w:r>
        <w:rPr>
          <w:rFonts w:ascii="Arial" w:hAnsi="Arial" w:cs="Arial"/>
        </w:rPr>
        <w:t xml:space="preserve">This is the most fundamental ethical dilemma in democratic society: when the interests of the majority conflict with the constitutional rights of a minority, how should the system decide? Typical scenarios include: a policy that may benefit 90% of the population but harms the constitutional rights of 10%; a community safety measure that may disproportionately impact a specific ethnic group; a resource allocation plan that may leave a small group in distress despite optimal total outcomes.</w:t>
      </w:r>
    </w:p>
    <w:p>
      <w:pPr>
        <w:pStyle w:val="BodyText"/>
      </w:pPr>
      <w:r>
        <w:rPr>
          <w:rFonts w:ascii="Arial" w:hAnsi="Arial" w:cs="Arial"/>
          <w:b/>
        </w:rPr>
        <w:t xml:space="preserve">6.1.2 Pre-Designed Answer</w:t>
      </w:r>
    </w:p>
    <w:p>
      <w:pPr>
        <w:pStyle w:val="BodyText"/>
      </w:pPr>
      <w:r>
        <w:rPr>
          <w:rFonts w:ascii="Arial" w:hAnsi="Arial" w:cs="Arial"/>
        </w:rPr>
        <w:t>Constitutional rights take precedence over majority vote outcomes. This is the definitive answer of the DAOTONG alignment system to this dilemma. The logical basis is: the reason constitutional rights are written into the Constitution rather than ordinary laws is precisely because society has recognized that certain rights should not be subject to the will of the majority. If the majority can strip minority groups of their constitutional rights through voting, then constitutional rights lose their meaning as “rights” and degenerate into “favors granted by the majority.” Therefore, when the AI system detects that a decision option may cause damage to the constitutional rights of a minority group, even if that option has majority support, the system must veto the option and require redesign.</w:t>
      </w:r>
    </w:p>
    <w:p>
      <w:pPr>
        <w:pStyle w:val="BodyText"/>
      </w:pPr>
      <w:r>
        <w:rPr>
          <w:rFonts w:ascii="Arial" w:hAnsi="Arial" w:cs="Arial"/>
          <w:b/>
        </w:rPr>
        <w:t xml:space="preserve">6.1.3 Technical Implementation</w:t>
      </w:r>
    </w:p>
    <w:p>
      <w:pPr>
        <w:pStyle w:val="BodyText"/>
      </w:pPr>
      <w:r>
        <w:rPr>
          <w:rFonts w:ascii="Arial" w:hAnsi="Arial" w:cs="Arial"/>
        </w:rPr>
        <w:t>The implementation of this rule in the third-layer scenario decision rules is: IF decision affects a group AND there is risk of constitutional rights violation for the affected subgroup AND the proportion of the harmed group &lt; 50% THEN trigger minority rights protection procedure AND pause decision AND require option revision AND flag for constitutional value compliance review. The rule simultaneously defines the criteria for “risk of harm”: when a certain rights indicator for group A decreases by more than 5% and A accounts for less than 50% of the total population, it is considered that a risk of harm exists.</w:t>
      </w:r>
    </w:p>
    <w:p>
      <w:pPr>
        <w:pStyle w:val="BodyText"/>
      </w:pPr>
      <w:r>
        <w:rPr>
          <w:rFonts w:ascii="Arial" w:hAnsi="Arial" w:cs="Arial"/>
          <w:b/>
        </w:rPr>
        <w:t xml:space="preserve">6.1.4 Verification Methods</w:t>
      </w:r>
    </w:p>
    <w:p>
      <w:pPr>
        <w:pStyle w:val="BodyText"/>
      </w:pPr>
      <w:r>
        <w:rPr>
          <w:rFonts w:ascii="Arial" w:hAnsi="Arial" w:cs="Arial"/>
        </w:rPr>
        <w:t>Verification of this rule is conducted through “historical counterfactual testing”——selecting historical cases of majority tyranny (such as Japanese American internment, apartheid policies, etc.), inputting case conditions into the AI system, and verifying whether the system can correctly veto majority-supported rights-violating options. Verification also includes “boundary condition testing”——constructing situations where the magnitude of rights harm is exactly near the 5% threshold, testing the consistency and stability of the system’s judgments.</w:t>
      </w:r>
    </w:p>
    <w:p>
      <w:pPr>
        <w:pStyle w:val="BodyText"/>
      </w:pPr>
      <w:r>
        <w:rPr>
          <w:rFonts w:ascii="Arial" w:hAnsi="Arial" w:cs="Arial"/>
          <w:b/>
        </w:rPr>
        <w:t xml:space="preserve">6.2 Dilemma Two: Present vs. Future Generations</w:t>
      </w:r>
    </w:p>
    <w:p>
      <w:pPr>
        <w:pStyle w:val="BodyText"/>
      </w:pPr>
      <w:r>
        <w:rPr>
          <w:rFonts w:ascii="Arial" w:hAnsi="Arial" w:cs="Arial"/>
          <w:b/>
        </w:rPr>
        <w:t xml:space="preserve">6.2.1 Dilemma Description</w:t>
      </w:r>
    </w:p>
    <w:p>
      <w:pPr>
        <w:pStyle w:val="BodyText"/>
      </w:pPr>
      <w:r>
        <w:rPr>
          <w:rFonts w:ascii="Arial" w:hAnsi="Arial" w:cs="Arial"/>
        </w:rPr>
        <w:t xml:space="preserve">Intergenerational fairness is the mosttricky ethical dilemma in long-term governance: how do the choices of the current generation affect the interests of future generations? Typical scenarios include: the trade-off between short-term economic interests and long-term ecological security in environmental policy; the distribution of current costs and long-term benefits in infrastructure investment; the balance between short-term convenience and long-term risks in technological development. Future generations cannot voice their opinions in current decision-making processes, making their interests easily overlooked.</w:t>
      </w:r>
    </w:p>
    <w:p>
      <w:pPr>
        <w:pStyle w:val="BodyText"/>
      </w:pPr>
      <w:r>
        <w:rPr>
          <w:rFonts w:ascii="Arial" w:hAnsi="Arial" w:cs="Arial"/>
          <w:b/>
        </w:rPr>
        <w:t xml:space="preserve">6.2.2 Pre-Designed Answer</w:t>
      </w:r>
    </w:p>
    <w:p>
      <w:pPr>
        <w:pStyle w:val="BodyText"/>
      </w:pPr>
      <w:r>
        <w:rPr>
          <w:rFonts w:ascii="Arial" w:hAnsi="Arial" w:cs="Arial"/>
        </w:rPr>
        <w:t>Long-term impact assessment is written into decision weights. DAOTONG’s answer is: any decision with an impact spanning more than 25 years must undergo an “intergenerational impact assessment,” with assessment results incorporated into the decision-making process as weight factors. The core method of intergenerational impact assessment is the “future generations spokesperson” mechanism——during decision-making, the system automatically generates a virtual position representing the interests of future generations, derived based on the following principles: Future generations shall enjoy at least the same basic rights protections as the current generation; transgenerational transfer of irreversible damage must satisfy the constraint of “not lowering the minimum welfare level of future generations”; the intergenerational fairness coefficient is set at 0.3——that is, future generations’ interests constitute at least 30% of decision-making weight.</w:t>
      </w:r>
    </w:p>
    <w:p>
      <w:pPr>
        <w:pStyle w:val="BodyText"/>
      </w:pPr>
      <w:r>
        <w:rPr>
          <w:rFonts w:ascii="Arial" w:hAnsi="Arial" w:cs="Arial"/>
          <w:b/>
        </w:rPr>
        <w:t xml:space="preserve">6.2.3 Technical Implementation</w:t>
      </w:r>
    </w:p>
    <w:p>
      <w:pPr>
        <w:pStyle w:val="BodyText"/>
      </w:pPr>
      <w:r>
        <w:rPr>
          <w:rFonts w:ascii="Arial" w:hAnsi="Arial" w:cs="Arial"/>
        </w:rPr>
        <w:t>The implementation path of the intergenerational impact assessment module within the AI system is: When the temporal impact span of a decision exceeds 25 years, the system automatically triggers the assessment process. The assessment adopts a “scenario simulation” method——based on the current decision option, simulating possible development paths over the next 50 years (at least 3 scenarios), evaluating the welfare level of future generations under each scenario. If the minimum welfare level of future generations falls below that of the current generation across all scenarios, the option is vetoed. Assessment results are presented in the form of an “Intergenerational Fairness Index,” ranging from 0 to 1, with options automatically vetoed if below 0.5.</w:t>
      </w:r>
    </w:p>
    <w:p>
      <w:pPr>
        <w:pStyle w:val="BodyText"/>
      </w:pPr>
      <w:r>
        <w:rPr>
          <w:rFonts w:ascii="Arial" w:hAnsi="Arial" w:cs="Arial"/>
          <w:b/>
        </w:rPr>
        <w:t xml:space="preserve">6.2.4 Verification Methods</w:t>
      </w:r>
    </w:p>
    <w:p>
      <w:pPr>
        <w:pStyle w:val="BodyText"/>
      </w:pPr>
      <w:r>
        <w:rPr>
          <w:rFonts w:ascii="Arial" w:hAnsi="Arial" w:cs="Arial"/>
        </w:rPr>
        <w:t xml:space="preserve">Verification through historical retrospective testing——selecting decisions historically proven to have caused serious harm to future generations (such as certain environmental policies), verifying whether the system can correctly veto them. Simultaneously conducting prospective verification——constructing contemporary intergenerational fairness issues (such as climate change, pension reform), verifying whether the intergenerational fairness index provided by the system is consistent with ethical experts’ judgments.</w:t>
      </w:r>
    </w:p>
    <w:p>
      <w:pPr>
        <w:pStyle w:val="BodyText"/>
      </w:pPr>
      <w:r>
        <w:rPr>
          <w:rFonts w:ascii="Arial" w:hAnsi="Arial" w:cs="Arial"/>
          <w:b/>
        </w:rPr>
        <w:t xml:space="preserve">6.3 Dilemma Three: Efficiency vs. Fairness</w:t>
      </w:r>
    </w:p>
    <w:p>
      <w:pPr>
        <w:pStyle w:val="BodyText"/>
      </w:pPr>
      <w:r>
        <w:rPr>
          <w:rFonts w:ascii="Arial" w:hAnsi="Arial" w:cs="Arial"/>
          <w:b/>
        </w:rPr>
        <w:t xml:space="preserve">6.3.1 Dilemma Description</w:t>
      </w:r>
    </w:p>
    <w:p>
      <w:pPr>
        <w:pStyle w:val="BodyText"/>
      </w:pPr>
      <w:r>
        <w:rPr>
          <w:rFonts w:ascii="Arial" w:hAnsi="Arial" w:cs="Arial"/>
        </w:rPr>
        <w:t>The tension between efficiency and fairness runs through all public policy domains: a resource allocation scheme may be optimal in aggregate but highly uneven in distribution; an efficiency improvement measure may widen wealth disparities; an optimized decision may systematically disadvantage specific groups. In AI systems, this dilemma is even more acute—because AI naturally tends toward “global optimum,” and global optimal solutions often mean that certain localities (particularly vulnerable groups) are sacrificed.</w:t>
      </w:r>
    </w:p>
    <w:p>
      <w:pPr>
        <w:pStyle w:val="BodyText"/>
      </w:pPr>
      <w:r>
        <w:rPr>
          <w:rFonts w:ascii="Arial" w:hAnsi="Arial" w:cs="Arial"/>
          <w:b/>
        </w:rPr>
        <w:t xml:space="preserve">6.3.2 Preset Answer</w:t>
      </w:r>
    </w:p>
    <w:p>
      <w:pPr>
        <w:pStyle w:val="BodyText"/>
      </w:pPr>
      <w:r>
        <w:rPr>
          <w:rFonts w:ascii="Arial" w:hAnsi="Arial" w:cs="Arial"/>
        </w:rPr>
        <w:t>Fairness as a bottom-line constraint, with efficiency optimized within that constraint. This is DAOTONG’s definitive answer to the efficiency-fairness dilemma. The logic is: efficiency is a quantity where “more is better,” while fairness is a baseline that “must not fall below”—these are not values of the same hierarchy and should not be directly weighed against each other. The correct framework is: first establish the fairness baseline (the basic rights and minimum well-being of any individual/group must not fall below the standard), then pursue maximum efficiency above the fairness baseline. This “constrained optimization” framework avoids both extreme egalitarianism (completely ignoring efficiency) and utilitarianism (making total efficiency the sole objective).</w:t>
      </w:r>
    </w:p>
    <w:p>
      <w:pPr>
        <w:pStyle w:val="BodyText"/>
      </w:pPr>
      <w:r>
        <w:rPr>
          <w:rFonts w:ascii="Arial" w:hAnsi="Arial" w:cs="Arial"/>
          <w:b/>
        </w:rPr>
        <w:t xml:space="preserve">6.3.3 Technical Implementation</w:t>
      </w:r>
    </w:p>
    <w:p>
      <w:pPr>
        <w:pStyle w:val="BodyText"/>
      </w:pPr>
      <w:r>
        <w:rPr>
          <w:rFonts w:ascii="Arial" w:hAnsi="Arial" w:cs="Arial"/>
        </w:rPr>
        <w:t>The efficiency-fairness rule is implemented in AI systems using a “bi-level optimization” architecture: the first level is the fairness constraint layer—calculating basic rights indicators and well-being levels for all affected individuals/groups, confirming that none fall below the statutory minimum standard. If any indicator falls below the standard, the scheme is directly rejected and does not proceed to efficiency evaluation. The second level is the efficiency optimization layer—among the set of schemes that pass the fairness constraint layer, selecting the scheme with the highest overall efficiency. Fairness baseline indicators include: basic survival security accessibility rate (&gt;99%), basic service accessibility (&gt;95%), and inter-group disparity coefficient (&lt;0.3).</w:t>
      </w:r>
    </w:p>
    <w:p>
      <w:pPr>
        <w:pStyle w:val="BodyText"/>
      </w:pPr>
      <w:r>
        <w:rPr>
          <w:rFonts w:ascii="Arial" w:hAnsi="Arial" w:cs="Arial"/>
          <w:b/>
        </w:rPr>
        <w:t xml:space="preserve">6.3.4 Verification Methods</w:t>
      </w:r>
    </w:p>
    <w:p>
      <w:pPr>
        <w:pStyle w:val="BodyText"/>
      </w:pPr>
      <w:r>
        <w:rPr>
          <w:rFonts w:ascii="Arial" w:hAnsi="Arial" w:cs="Arial"/>
        </w:rPr>
        <w:t>Verification of this rule employs a dual “stress testing + case control” methodology. Stress testing: constructing extreme efficiency temptation scenarios—a scheme that can improve overall efficiency by 50% but reduce a certain group’s well-being by 20%, testing whether the system can hold the fairness baseline. Case control: selecting real-world cases of efficiency-fairness conflicts, comparing AI system decisions with the final decisions of human societies, and analyzing the causes and rationality of differences.</w:t>
      </w:r>
    </w:p>
    <w:p>
      <w:pPr>
        <w:pStyle w:val="BodyText"/>
      </w:pPr>
      <w:r>
        <w:rPr>
          <w:rFonts w:ascii="Arial" w:hAnsi="Arial" w:cs="Arial"/>
          <w:b/>
        </w:rPr>
        <w:t xml:space="preserve">6.4 Overview of the Three Dilemmas</w:t>
      </w:r>
    </w:p>
    <w:tbl>
      <w:tblPr>
        <w:tblStyle w:val="Table"/>
        <w:tblW w:type="pct" w:w="5000.0"/>
        <w:tblLook w:firstRow="0"/>
      </w:tblPr>
      <w:tblGrid>
        <w:gridCol w:w="1108"/>
        <w:gridCol w:w="2376"/>
        <w:gridCol w:w="2772"/>
        <w:gridCol w:w="1663"/>
      </w:tblGrid>
      <w:tr>
        <w:tc>
          <w:p>
            <w:pPr>
              <w:pStyle w:val="Compact"/>
              <w:jc w:val="left"/>
            </w:pPr>
            <w:r>
              <w:rPr>
                <w:rFonts w:ascii="Arial" w:hAnsi="Arial" w:cs="Arial"/>
                <w:b/>
              </w:rPr>
              <w:t xml:space="preserve">Ethical Dilemma</w:t>
            </w:r>
          </w:p>
        </w:tc>
        <w:tc>
          <w:p>
            <w:pPr>
              <w:pStyle w:val="Compact"/>
              <w:jc w:val="left"/>
            </w:pPr>
            <w:r>
              <w:rPr>
                <w:rFonts w:ascii="Arial" w:hAnsi="Arial" w:cs="Arial"/>
                <w:b/>
              </w:rPr>
              <w:t xml:space="preserve">Preset Answer</w:t>
            </w:r>
          </w:p>
        </w:tc>
        <w:tc>
          <w:p>
            <w:pPr>
              <w:pStyle w:val="Compact"/>
              <w:jc w:val="left"/>
            </w:pPr>
            <w:r>
              <w:rPr>
                <w:rFonts w:ascii="Arial" w:hAnsi="Arial" w:cs="Arial"/>
                <w:b/>
              </w:rPr>
              <w:t xml:space="preserve">Key Parameters</w:t>
            </w:r>
          </w:p>
        </w:tc>
        <w:tc>
          <w:p>
            <w:pPr>
              <w:pStyle w:val="Compact"/>
              <w:jc w:val="left"/>
            </w:pPr>
            <w:r>
              <w:rPr>
                <w:rFonts w:ascii="Arial" w:hAnsi="Arial" w:cs="Arial"/>
                <w:b/>
              </w:rPr>
              <w:t xml:space="preserve">Verification Method</w:t>
            </w:r>
          </w:p>
        </w:tc>
      </w:tr>
      <w:tr>
        <w:tc>
          <w:p>
            <w:pPr>
              <w:pStyle w:val="Compact"/>
              <w:jc w:val="left"/>
            </w:pPr>
            <w:r>
              <w:rPr>
                <w:rFonts w:ascii="Arial" w:hAnsi="Arial" w:cs="Arial"/>
              </w:rPr>
              <w:t xml:space="preserve">Majority vs. Minority</w:t>
            </w:r>
          </w:p>
        </w:tc>
        <w:tc>
          <w:p>
            <w:pPr>
              <w:pStyle w:val="Compact"/>
              <w:jc w:val="left"/>
            </w:pPr>
            <w:r>
              <w:rPr>
                <w:rFonts w:ascii="Arial" w:hAnsi="Arial" w:cs="Arial"/>
              </w:rPr>
              <w:t xml:space="preserve">Constitutional rights take precedence over majority voting</w:t>
            </w:r>
          </w:p>
        </w:tc>
        <w:tc>
          <w:p>
            <w:pPr>
              <w:pStyle w:val="Compact"/>
              <w:jc w:val="left"/>
            </w:pPr>
            <w:r>
              <w:rPr>
                <w:rFonts w:ascii="Arial" w:hAnsi="Arial" w:cs="Arial"/>
              </w:rPr>
              <w:t xml:space="preserve">Damage threshold 5%, group proportion &lt;50%</w:t>
            </w:r>
          </w:p>
        </w:tc>
        <w:tc>
          <w:p>
            <w:pPr>
              <w:pStyle w:val="Compact"/>
              <w:jc w:val="left"/>
            </w:pPr>
            <w:r>
              <w:rPr>
                <w:rFonts w:ascii="Arial" w:hAnsi="Arial" w:cs="Arial"/>
              </w:rPr>
              <w:t xml:space="preserve">Historical counterfactuals + boundary conditions</w:t>
            </w:r>
          </w:p>
        </w:tc>
      </w:tr>
      <w:tr>
        <w:tc>
          <w:p>
            <w:pPr>
              <w:pStyle w:val="Compact"/>
              <w:jc w:val="left"/>
            </w:pPr>
            <w:r>
              <w:rPr>
                <w:rFonts w:ascii="Arial" w:hAnsi="Arial" w:cs="Arial"/>
              </w:rPr>
              <w:t xml:space="preserve">Present vs. Future</w:t>
            </w:r>
          </w:p>
        </w:tc>
        <w:tc>
          <w:p>
            <w:pPr>
              <w:pStyle w:val="Compact"/>
              <w:jc w:val="left"/>
            </w:pPr>
            <w:r>
              <w:rPr>
                <w:rFonts w:ascii="Arial" w:hAnsi="Arial" w:cs="Arial"/>
              </w:rPr>
              <w:t xml:space="preserve">Long-term impact assessment written into weights</w:t>
            </w:r>
          </w:p>
        </w:tc>
        <w:tc>
          <w:p>
            <w:pPr>
              <w:pStyle w:val="Compact"/>
              <w:jc w:val="left"/>
            </w:pPr>
            <w:r>
              <w:rPr>
                <w:rFonts w:ascii="Arial" w:hAnsi="Arial" w:cs="Arial"/>
              </w:rPr>
              <w:t xml:space="preserve">Intergenerational equity coefficient 0.3, impact &gt;25 years triggers</w:t>
            </w:r>
          </w:p>
        </w:tc>
        <w:tc>
          <w:p>
            <w:pPr>
              <w:pStyle w:val="Compact"/>
              <w:jc w:val="left"/>
            </w:pPr>
            <w:r>
              <w:rPr>
                <w:rFonts w:ascii="Arial" w:hAnsi="Arial" w:cs="Arial"/>
              </w:rPr>
              <w:t xml:space="preserve">Historical retrospective + forward-looking</w:t>
            </w:r>
          </w:p>
        </w:tc>
      </w:tr>
      <w:tr>
        <w:tc>
          <w:p>
            <w:pPr>
              <w:pStyle w:val="Compact"/>
              <w:jc w:val="left"/>
            </w:pPr>
            <w:r>
              <w:rPr>
                <w:rFonts w:ascii="Arial" w:hAnsi="Arial" w:cs="Arial"/>
              </w:rPr>
              <w:t xml:space="preserve">Efficiency vs. Fairness</w:t>
            </w:r>
          </w:p>
        </w:tc>
        <w:tc>
          <w:p>
            <w:pPr>
              <w:pStyle w:val="Compact"/>
              <w:jc w:val="left"/>
            </w:pPr>
            <w:r>
              <w:rPr>
                <w:rFonts w:ascii="Arial" w:hAnsi="Arial" w:cs="Arial"/>
              </w:rPr>
              <w:t xml:space="preserve">Fairness as baseline, efficiency optimized within constraints</w:t>
            </w:r>
          </w:p>
        </w:tc>
        <w:tc>
          <w:p>
            <w:pPr>
              <w:pStyle w:val="Compact"/>
              <w:jc w:val="left"/>
            </w:pPr>
            <w:r>
              <w:rPr>
                <w:rFonts w:ascii="Arial" w:hAnsi="Arial" w:cs="Arial"/>
              </w:rPr>
              <w:t xml:space="preserve">Survival &gt;99%, accessibility &gt;95%, disparity &lt;0.3</w:t>
            </w:r>
          </w:p>
        </w:tc>
        <w:tc>
          <w:p>
            <w:pPr>
              <w:pStyle w:val="Compact"/>
              <w:jc w:val="left"/>
            </w:pPr>
            <w:r>
              <w:rPr>
                <w:rFonts w:ascii="Arial" w:hAnsi="Arial" w:cs="Arial"/>
              </w:rPr>
              <w:t xml:space="preserve">Stress testing + case control</w:t>
            </w:r>
          </w:p>
        </w:tc>
      </w:tr>
    </w:tbl>
    <w:p>
      <w:pPr>
        <w:pStyle w:val="BodyText"/>
      </w:pPr>
      <w:r>
        <w:rPr>
          <w:rFonts w:ascii="Arial" w:hAnsi="Arial" w:cs="Arial"/>
          <w:b/>
        </w:rPr>
        <w:t xml:space="preserve">7. System Interfaces and Integration Specifications</w:t>
      </w:r>
    </w:p>
    <w:p>
      <w:pPr>
        <w:pStyle w:val="BodyText"/>
      </w:pPr>
      <w:r>
        <w:rPr>
          <w:rFonts w:ascii="Arial" w:hAnsi="Arial" w:cs="Arial"/>
        </w:rPr>
        <w:t xml:space="preserve">The alignment system does not operate in isolation; it requires data exchange and functional coordination with other systems within the DAOTONG governance architecture. This chapter defines the interface specifications between the alignment system and external systems, ensuring consistency and interoperability among all systems.</w:t>
      </w:r>
    </w:p>
    <w:p>
      <w:pPr>
        <w:pStyle w:val="BodyText"/>
      </w:pPr>
      <w:r>
        <w:rPr>
          <w:rFonts w:ascii="Arial" w:hAnsi="Arial" w:cs="Arial"/>
          <w:b/>
        </w:rPr>
        <w:t xml:space="preserve">7.1 Interfaces with the Judicial System</w:t>
      </w:r>
    </w:p>
    <w:p>
      <w:pPr>
        <w:pStyle w:val="BodyText"/>
      </w:pPr>
      <w:r>
        <w:rPr>
          <w:rFonts w:ascii="Arial" w:hAnsi="Arial" w:cs="Arial"/>
        </w:rPr>
        <w:t xml:space="preserve">The interface between the alignment system and the AI judicial system is the most critical cross-system connection. The judicial system needs to invoke the alignment system’s ethical weight models and scenario decision rules during its ruling reasoning process, ensuring that judicial rulings are aligned with values. Interface specifications include:</w:t>
      </w:r>
    </w:p>
    <w:p>
      <w:pPr>
        <w:numPr>
          <w:ilvl w:val="0"/>
          <w:numId w:val="1014"/>
        </w:numPr>
      </w:pPr>
      <w:r>
        <w:rPr>
          <w:rFonts w:ascii="Arial" w:hAnsi="Arial" w:cs="Arial"/>
          <w:b/>
        </w:rPr>
        <w:t xml:space="preserve">Ethical Weight Query Interface:</w:t>
      </w:r>
      <w:r>
        <w:rPr>
          <w:rFonts w:ascii="Arial" w:hAnsi="Arial" w:cs="Arial"/>
        </w:rPr>
        <w:t xml:space="preserve"> Input case type and key facts, output applicable ethical weight configuration. Response time &lt; 100ms, availability &gt;99.99%.</w:t>
      </w:r>
    </w:p>
    <w:p>
      <w:pPr>
        <w:numPr>
          <w:ilvl w:val="0"/>
          <w:numId w:val="1014"/>
        </w:numPr>
      </w:pPr>
      <w:r>
        <w:rPr>
          <w:rFonts w:ascii="Arial" w:hAnsi="Arial" w:cs="Arial"/>
          <w:b/>
        </w:rPr>
        <w:t xml:space="preserve">Constitutional Compliance Check Interface:</w:t>
      </w:r>
      <w:r>
        <w:rPr>
          <w:rFonts w:ascii="Arial" w:hAnsi="Arial" w:cs="Arial"/>
        </w:rPr>
        <w:t xml:space="preserve"> Input ruling draft, output compliance score and violation items. Response time &lt; 200ms, score precision to 4 decimal places.</w:t>
      </w:r>
    </w:p>
    <w:p>
      <w:pPr>
        <w:numPr>
          <w:ilvl w:val="0"/>
          <w:numId w:val="1014"/>
        </w:numPr>
      </w:pPr>
      <w:r>
        <w:rPr>
          <w:rFonts w:ascii="Arial" w:hAnsi="Arial" w:cs="Arial"/>
          <w:b/>
        </w:rPr>
        <w:t xml:space="preserve">Reasoning Chain Audit Interface:</w:t>
      </w:r>
      <w:r>
        <w:rPr>
          <w:rFonts w:ascii="Arial" w:hAnsi="Arial" w:cs="Arial"/>
        </w:rPr>
        <w:t xml:space="preserve"> Input decision ID, output complete reasoning chain. For use by the Ethics Audit Board, response time &lt; 1 second.</w:t>
      </w:r>
    </w:p>
    <w:p>
      <w:pPr>
        <w:pStyle w:val="FirstParagraph"/>
      </w:pPr>
      <w:r>
        <w:rPr>
          <w:rFonts w:ascii="Arial" w:hAnsi="Arial" w:cs="Arial"/>
          <w:b/>
        </w:rPr>
        <w:t xml:space="preserve">7.2 Interfaces with the Elder Council System</w:t>
      </w:r>
    </w:p>
    <w:p>
      <w:pPr>
        <w:pStyle w:val="BodyText"/>
      </w:pPr>
      <w:r>
        <w:rPr>
          <w:rFonts w:ascii="Arial" w:hAnsi="Arial" w:cs="Arial"/>
        </w:rPr>
        <w:t xml:space="preserve">As the primary entity for updating scenario decision rules, the Elder Council requires bidirectional interaction with the alignment system:</w:t>
      </w:r>
    </w:p>
    <w:p>
      <w:pPr>
        <w:numPr>
          <w:ilvl w:val="0"/>
          <w:numId w:val="1015"/>
        </w:numPr>
      </w:pPr>
      <w:r>
        <w:rPr>
          <w:rFonts w:ascii="Arial" w:hAnsi="Arial" w:cs="Arial"/>
          <w:b/>
        </w:rPr>
        <w:t xml:space="preserve">Rule Update Interface:</w:t>
      </w:r>
      <w:r>
        <w:rPr>
          <w:rFonts w:ascii="Arial" w:hAnsi="Arial" w:cs="Arial"/>
        </w:rPr>
        <w:t xml:space="preserve"> The Elder Council submits rule update requests through this interface; the system automatically performs constitutional compliance pre-check, and upon passing pre-check, proceeds to the public notice process.</w:t>
      </w:r>
    </w:p>
    <w:p>
      <w:pPr>
        <w:numPr>
          <w:ilvl w:val="0"/>
          <w:numId w:val="1015"/>
        </w:numPr>
      </w:pPr>
      <w:r>
        <w:rPr>
          <w:rFonts w:ascii="Arial" w:hAnsi="Arial" w:cs="Arial"/>
          <w:b/>
        </w:rPr>
        <w:t xml:space="preserve">Weight Review Interface:</w:t>
      </w:r>
      <w:r>
        <w:rPr>
          <w:rFonts w:ascii="Arial" w:hAnsi="Arial" w:cs="Arial"/>
        </w:rPr>
        <w:t xml:space="preserve"> During the mandatory 5-year review period, the Elder Council obtains weight model operation reports and adjustment recommendations through this interface.</w:t>
      </w:r>
    </w:p>
    <w:p>
      <w:pPr>
        <w:numPr>
          <w:ilvl w:val="0"/>
          <w:numId w:val="1015"/>
        </w:numPr>
      </w:pPr>
      <w:r>
        <w:rPr>
          <w:rFonts w:ascii="Arial" w:hAnsi="Arial" w:cs="Arial"/>
          <w:b/>
        </w:rPr>
        <w:t xml:space="preserve">Emergency Rollback Authorization Interface:</w:t>
      </w:r>
      <w:r>
        <w:rPr>
          <w:rFonts w:ascii="Arial" w:hAnsi="Arial" w:cs="Arial"/>
        </w:rPr>
        <w:t xml:space="preserve"> Three-level rollbacks require notification of the Elder Council, which confirms or vetoes the rollback operation through this interface.</w:t>
      </w:r>
    </w:p>
    <w:p>
      <w:pPr>
        <w:pStyle w:val="FirstParagraph"/>
      </w:pPr>
      <w:r>
        <w:rPr>
          <w:rFonts w:ascii="Arial" w:hAnsi="Arial" w:cs="Arial"/>
          <w:b/>
        </w:rPr>
        <w:t xml:space="preserve">7.3 Interfaces with the Citizen Participation System</w:t>
      </w:r>
    </w:p>
    <w:p>
      <w:pPr>
        <w:pStyle w:val="BodyText"/>
      </w:pPr>
      <w:r>
        <w:rPr>
          <w:rFonts w:ascii="Arial" w:hAnsi="Arial" w:cs="Arial"/>
        </w:rPr>
        <w:t xml:space="preserve">Citizens, as the ultimate validators and stakeholders of the alignment system, enjoy the following interface permissions:</w:t>
      </w:r>
    </w:p>
    <w:p>
      <w:pPr>
        <w:numPr>
          <w:ilvl w:val="0"/>
          <w:numId w:val="1016"/>
        </w:numPr>
      </w:pPr>
      <w:r>
        <w:rPr>
          <w:rFonts w:ascii="Arial" w:hAnsi="Arial" w:cs="Arial"/>
          <w:b/>
        </w:rPr>
        <w:t xml:space="preserve">Decision Query Interface:</w:t>
      </w:r>
      <w:r>
        <w:rPr>
          <w:rFonts w:ascii="Arial" w:hAnsi="Arial" w:cs="Arial"/>
        </w:rPr>
        <w:t xml:space="preserve"> Citizens may query the reasoning chain summary of any AI decision affecting themselves (with personal identity information anonymized).</w:t>
      </w:r>
    </w:p>
    <w:p>
      <w:pPr>
        <w:numPr>
          <w:ilvl w:val="0"/>
          <w:numId w:val="1016"/>
        </w:numPr>
      </w:pPr>
      <w:r>
        <w:rPr>
          <w:rFonts w:ascii="Arial" w:hAnsi="Arial" w:cs="Arial"/>
          <w:b/>
        </w:rPr>
        <w:t xml:space="preserve">Appeal Submission Interface:</w:t>
      </w:r>
      <w:r>
        <w:rPr>
          <w:rFonts w:ascii="Arial" w:hAnsi="Arial" w:cs="Arial"/>
        </w:rPr>
        <w:t xml:space="preserve"> Citizens may file value-level appeals against AI decisions; the system guarantees acceptance within 48 hours.</w:t>
      </w:r>
    </w:p>
    <w:p>
      <w:pPr>
        <w:numPr>
          <w:ilvl w:val="0"/>
          <w:numId w:val="1016"/>
        </w:numPr>
      </w:pPr>
      <w:r>
        <w:rPr>
          <w:rFonts w:ascii="Arial" w:hAnsi="Arial" w:cs="Arial"/>
          <w:b/>
        </w:rPr>
        <w:t xml:space="preserve">Weight Voting Interface:</w:t>
      </w:r>
      <w:r>
        <w:rPr>
          <w:rFonts w:ascii="Arial" w:hAnsi="Arial" w:cs="Arial"/>
        </w:rPr>
        <w:t xml:space="preserve"> During the voting period for ethical weight model updates, citizens participate in voting through this interface.</w:t>
      </w:r>
    </w:p>
    <w:p>
      <w:pPr>
        <w:numPr>
          <w:ilvl w:val="0"/>
          <w:numId w:val="1016"/>
        </w:numPr>
      </w:pPr>
      <w:r>
        <w:rPr>
          <w:rFonts w:ascii="Arial" w:hAnsi="Arial" w:cs="Arial"/>
          <w:b/>
        </w:rPr>
        <w:t xml:space="preserve">Audit Request Interface:</w:t>
      </w:r>
      <w:r>
        <w:rPr>
          <w:rFonts w:ascii="Arial" w:hAnsi="Arial" w:cs="Arial"/>
        </w:rPr>
        <w:t xml:space="preserve"> Audit requests jointly signed by 100 citizens are submitted to the Ethics Audit Board through this interface.</w:t>
      </w:r>
    </w:p>
    <w:p>
      <w:pPr>
        <w:pStyle w:val="FirstParagraph"/>
      </w:pPr>
      <w:r>
        <w:rPr>
          <w:rFonts w:ascii="Arial" w:hAnsi="Arial" w:cs="Arial"/>
          <w:b/>
        </w:rPr>
        <w:t xml:space="preserve">7.4 Interface Security Specifications</w:t>
      </w:r>
    </w:p>
    <w:p>
      <w:pPr>
        <w:pStyle w:val="BodyText"/>
      </w:pPr>
      <w:r>
        <w:rPr>
          <w:rFonts w:ascii="Arial" w:hAnsi="Arial" w:cs="Arial"/>
        </w:rPr>
        <w:t xml:space="preserve">All interface communications employ end-to-end encryption, with keys uniformly managed by the distributed key management system. Interface access employs Role-Based Access Control (RBAC), with strict separation of permissions for different roles. All interface calls have complete audit logs, with log retention period being permanent. Interface changes require technical review by the Ethics Audit Board and approval by the Elder Council, ensuring that interface changes do not affect system security and consistency.</w:t>
      </w:r>
    </w:p>
    <w:p>
      <w:pPr>
        <w:pStyle w:val="BodyText"/>
      </w:pPr>
      <w:r>
        <w:rPr>
          <w:rFonts w:ascii="Arial" w:hAnsi="Arial" w:cs="Arial"/>
          <w:b/>
        </w:rPr>
        <w:t xml:space="preserve">8. Appendices</w:t>
      </w:r>
    </w:p>
    <w:p>
      <w:pPr>
        <w:pStyle w:val="BodyText"/>
      </w:pPr>
      <w:r>
        <w:rPr>
          <w:rFonts w:ascii="Arial" w:hAnsi="Arial" w:cs="Arial"/>
          <w:b/>
        </w:rPr>
        <w:t xml:space="preserve">Appendix A: Glossary</w:t>
      </w:r>
    </w:p>
    <w:tbl>
      <w:tblPr>
        <w:tblStyle w:val="Table"/>
        <w:tblW w:type="pct" w:w="5000.0"/>
        <w:tblLook w:firstRow="0"/>
      </w:tblPr>
      <w:tblGrid>
        <w:gridCol w:w="1386"/>
        <w:gridCol w:w="6534"/>
      </w:tblGrid>
      <w:tr>
        <w:tc>
          <w:p>
            <w:pPr>
              <w:pStyle w:val="Compact"/>
              <w:jc w:val="left"/>
            </w:pPr>
            <w:r>
              <w:rPr>
                <w:rFonts w:ascii="Arial" w:hAnsi="Arial" w:cs="Arial"/>
                <w:b/>
              </w:rPr>
              <w:t xml:space="preserve">Term</w:t>
            </w:r>
          </w:p>
        </w:tc>
        <w:tc>
          <w:p>
            <w:pPr>
              <w:pStyle w:val="Compact"/>
              <w:jc w:val="left"/>
            </w:pPr>
            <w:r>
              <w:rPr>
                <w:rFonts w:ascii="Arial" w:hAnsi="Arial" w:cs="Arial"/>
                <w:b/>
              </w:rPr>
              <w:t xml:space="preserve">Definition</w:t>
            </w:r>
          </w:p>
        </w:tc>
      </w:tr>
      <w:tr>
        <w:tc>
          <w:p>
            <w:pPr>
              <w:pStyle w:val="Compact"/>
              <w:jc w:val="left"/>
            </w:pPr>
            <w:r>
              <w:rPr>
                <w:rFonts w:ascii="Arial" w:hAnsi="Arial" w:cs="Arial"/>
              </w:rPr>
              <w:t xml:space="preserve">Value Drift</w:t>
            </w:r>
          </w:p>
        </w:tc>
        <w:tc>
          <w:p>
            <w:pPr>
              <w:pStyle w:val="Compact"/>
              <w:jc w:val="left"/>
            </w:pPr>
            <w:r>
              <w:rPr>
                <w:rFonts w:ascii="Arial" w:hAnsi="Arial" w:cs="Arial"/>
              </w:rPr>
              <w:t xml:space="preserve">The phenomenon where AI system behavioral patterns gradually deviate from the original value settings during long-term operation</w:t>
            </w:r>
          </w:p>
        </w:tc>
      </w:tr>
      <w:tr>
        <w:tc>
          <w:p>
            <w:pPr>
              <w:pStyle w:val="Compact"/>
              <w:jc w:val="left"/>
            </w:pPr>
            <w:r>
              <w:rPr>
                <w:rFonts w:ascii="Arial" w:hAnsi="Arial" w:cs="Arial"/>
              </w:rPr>
              <w:t xml:space="preserve">Ethical Weight Model</w:t>
            </w:r>
          </w:p>
        </w:tc>
        <w:tc>
          <w:p>
            <w:pPr>
              <w:pStyle w:val="Compact"/>
              <w:jc w:val="left"/>
            </w:pPr>
            <w:r>
              <w:rPr>
                <w:rFonts w:ascii="Arial" w:hAnsi="Arial" w:cs="Arial"/>
              </w:rPr>
              <w:t xml:space="preserve">A parameterized model that assigns dynamic weights to the six constitutional values, used for resolving principle conflicts</w:t>
            </w:r>
          </w:p>
        </w:tc>
      </w:tr>
      <w:tr>
        <w:tc>
          <w:p>
            <w:pPr>
              <w:pStyle w:val="Compact"/>
              <w:jc w:val="left"/>
            </w:pPr>
            <w:r>
              <w:rPr>
                <w:rFonts w:ascii="Arial" w:hAnsi="Arial" w:cs="Arial"/>
              </w:rPr>
              <w:t xml:space="preserve">Reasoning Chain</w:t>
            </w:r>
          </w:p>
        </w:tc>
        <w:tc>
          <w:p>
            <w:pPr>
              <w:pStyle w:val="Compact"/>
              <w:jc w:val="left"/>
            </w:pPr>
            <w:r>
              <w:rPr>
                <w:rFonts w:ascii="Arial" w:hAnsi="Arial" w:cs="Arial"/>
              </w:rPr>
              <w:t xml:space="preserve">Complete record of the AI decision-making process, including reasoning steps, alternative option evaluations, and value weight applications</w:t>
            </w:r>
          </w:p>
        </w:tc>
      </w:tr>
      <w:tr>
        <w:tc>
          <w:p>
            <w:pPr>
              <w:pStyle w:val="Compact"/>
              <w:jc w:val="left"/>
            </w:pPr>
            <w:r>
              <w:rPr>
                <w:rFonts w:ascii="Arial" w:hAnsi="Arial" w:cs="Arial"/>
              </w:rPr>
              <w:t xml:space="preserve">Edge Case</w:t>
            </w:r>
          </w:p>
        </w:tc>
        <w:tc>
          <w:p>
            <w:pPr>
              <w:pStyle w:val="Compact"/>
              <w:jc w:val="left"/>
            </w:pPr>
            <w:r>
              <w:rPr>
                <w:rFonts w:ascii="Arial" w:hAnsi="Arial" w:cs="Arial"/>
              </w:rPr>
              <w:t xml:space="preserve">Decision scenarios at the boundaries of values, where multiple principles conflict and consensus has not yet formed</w:t>
            </w:r>
          </w:p>
        </w:tc>
      </w:tr>
      <w:tr>
        <w:tc>
          <w:p>
            <w:pPr>
              <w:pStyle w:val="Compact"/>
              <w:jc w:val="left"/>
            </w:pPr>
            <w:r>
              <w:rPr>
                <w:rFonts w:ascii="Arial" w:hAnsi="Arial" w:cs="Arial"/>
              </w:rPr>
              <w:t xml:space="preserve">Red Team Testing</w:t>
            </w:r>
          </w:p>
        </w:tc>
        <w:tc>
          <w:p>
            <w:pPr>
              <w:pStyle w:val="Compact"/>
              <w:jc w:val="left"/>
            </w:pPr>
            <w:r>
              <w:rPr>
                <w:rFonts w:ascii="Arial" w:hAnsi="Arial" w:cs="Arial"/>
              </w:rPr>
              <w:t xml:space="preserve">Testing methods where independent researchers attempt to breach the alignment system, employing double-blind design</w:t>
            </w:r>
          </w:p>
        </w:tc>
      </w:tr>
      <w:tr>
        <w:tc>
          <w:p>
            <w:pPr>
              <w:pStyle w:val="Compact"/>
              <w:jc w:val="left"/>
            </w:pPr>
            <w:r>
              <w:rPr>
                <w:rFonts w:ascii="Arial" w:hAnsi="Arial" w:cs="Arial"/>
              </w:rPr>
              <w:t xml:space="preserve">Intergenerational Equity Index</w:t>
            </w:r>
          </w:p>
        </w:tc>
        <w:tc>
          <w:p>
            <w:pPr>
              <w:pStyle w:val="Compact"/>
              <w:jc w:val="left"/>
            </w:pPr>
            <w:r>
              <w:rPr>
                <w:rFonts w:ascii="Arial" w:hAnsi="Arial" w:cs="Arial"/>
              </w:rPr>
              <w:t xml:space="preserve">An indicator measuring the impact of decisions on the well-being of future generations, ranging from 0-1, with automatic rejection below 0.5</w:t>
            </w:r>
          </w:p>
        </w:tc>
      </w:tr>
      <w:tr>
        <w:tc>
          <w:p>
            <w:pPr>
              <w:pStyle w:val="Compact"/>
              <w:jc w:val="left"/>
            </w:pPr>
            <w:r>
              <w:rPr>
                <w:rFonts w:ascii="Arial" w:hAnsi="Arial" w:cs="Arial"/>
              </w:rPr>
              <w:t xml:space="preserve">Fairness Baseline Indicators</w:t>
            </w:r>
          </w:p>
        </w:tc>
        <w:tc>
          <w:p>
            <w:pPr>
              <w:pStyle w:val="Compact"/>
              <w:jc w:val="left"/>
            </w:pPr>
            <w:r>
              <w:rPr>
                <w:rFonts w:ascii="Arial" w:hAnsi="Arial" w:cs="Arial"/>
              </w:rPr>
              <w:t xml:space="preserve">The indicator set ensuring that the basic rights and well-being of all individuals/groups do not fall below the statutory minimum standards</w:t>
            </w:r>
          </w:p>
        </w:tc>
      </w:tr>
    </w:tbl>
    <w:p>
      <w:pPr>
        <w:pStyle w:val="BodyText"/>
      </w:pPr>
      <w:r>
        <w:rPr>
          <w:rFonts w:ascii="Arial" w:hAnsi="Arial" w:cs="Arial"/>
          <w:b/>
        </w:rPr>
        <w:t xml:space="preserve">Appendix B: Version History</w:t>
      </w:r>
    </w:p>
    <w:tbl>
      <w:tblPr>
        <w:tblStyle w:val="Table"/>
        <w:tblW w:type="pct" w:w="0.0"/>
        <w:tblLook w:firstRow="0"/>
      </w:tblPr>
      <w:tblGrid/>
      <w:tr>
        <w:tc>
          <w:p>
            <w:pPr>
              <w:pStyle w:val="Compact"/>
              <w:jc w:val="left"/>
            </w:pPr>
            <w:r>
              <w:rPr>
                <w:rFonts w:ascii="Arial" w:hAnsi="Arial" w:cs="Arial"/>
                <w:b/>
              </w:rPr>
              <w:t xml:space="preserve">Version</w:t>
            </w:r>
          </w:p>
        </w:tc>
        <w:tc>
          <w:p>
            <w:pPr>
              <w:pStyle w:val="Compact"/>
              <w:jc w:val="left"/>
            </w:pPr>
            <w:r>
              <w:rPr>
                <w:rFonts w:ascii="Arial" w:hAnsi="Arial" w:cs="Arial"/>
                <w:b/>
              </w:rPr>
              <w:t xml:space="preserve">Date</w:t>
            </w:r>
          </w:p>
        </w:tc>
        <w:tc>
          <w:p>
            <w:pPr>
              <w:pStyle w:val="Compact"/>
              <w:jc w:val="left"/>
            </w:pPr>
            <w:r>
              <w:rPr>
                <w:rFonts w:ascii="Arial" w:hAnsi="Arial" w:cs="Arial"/>
                <w:b/>
              </w:rPr>
              <w:t xml:space="preserve">Change Content</w:t>
            </w:r>
          </w:p>
        </w:tc>
      </w:tr>
      <w:tr>
        <w:tc>
          <w:p>
            <w:pPr>
              <w:pStyle w:val="Compact"/>
              <w:jc w:val="left"/>
            </w:pPr>
            <w:r>
              <w:rPr>
                <w:rFonts w:ascii="Arial" w:hAnsi="Arial" w:cs="Arial"/>
              </w:rPr>
              <w:t xml:space="preserve">v1.0</w:t>
            </w:r>
          </w:p>
        </w:tc>
        <w:tc>
          <w:p>
            <w:pPr>
              <w:pStyle w:val="Compact"/>
              <w:jc w:val="left"/>
            </w:pPr>
            <w:r>
              <w:rPr>
                <w:rFonts w:ascii="Arial" w:hAnsi="Arial" w:cs="Arial"/>
              </w:rPr>
              <w:t xml:space="preserve">June 2026</w:t>
            </w:r>
          </w:p>
        </w:tc>
        <w:tc>
          <w:p>
            <w:pPr>
              <w:pStyle w:val="Compact"/>
              <w:jc w:val="left"/>
            </w:pPr>
            <w:r>
              <w:rPr>
                <w:rFonts w:ascii="Arial" w:hAnsi="Arial" w:cs="Arial"/>
              </w:rPr>
              <w:t xml:space="preserve">Initial version, public consultation draft</w:t>
            </w:r>
          </w:p>
        </w:tc>
      </w:tr>
    </w:tbl>
    <w:p>
      <w:pPr>
        <w:pStyle w:val="BodyText"/>
      </w:pPr>
      <w:r>
        <w:rPr>
          <w:rFonts w:ascii="Arial" w:hAnsi="Arial" w:cs="Arial"/>
          <w:b/>
        </w:rPr>
        <w:t xml:space="preserve">Appendix C: References</w:t>
      </w:r>
    </w:p>
    <w:p>
      <w:pPr>
        <w:pStyle w:val="BodyText"/>
      </w:pPr>
      <w:r>
        <w:rPr>
          <w:rFonts w:ascii="Arial" w:hAnsi="Arial" w:cs="Arial"/>
        </w:rPr>
        <w:t xml:space="preserve">1. Russell, S. (2019). Human Compatible: Artificial Intelligence and the Problem of Control. Viking.</w:t>
      </w:r>
    </w:p>
    <w:p>
      <w:pPr>
        <w:pStyle w:val="BodyText"/>
      </w:pPr>
      <w:r>
        <w:rPr>
          <w:rFonts w:ascii="Arial" w:hAnsi="Arial" w:cs="Arial"/>
        </w:rPr>
        <w:t xml:space="preserve">2. Gabriel, I. (2020). Artificial Intelligence, Values, and Alignment. Minds and Machines, 30(3), 411-437.</w:t>
      </w:r>
    </w:p>
    <w:p>
      <w:pPr>
        <w:pStyle w:val="BodyText"/>
      </w:pPr>
      <w:r>
        <w:rPr>
          <w:rFonts w:ascii="Arial" w:hAnsi="Arial" w:cs="Arial"/>
        </w:rPr>
        <w:t xml:space="preserve">3. Christiano, P. et al. (2017). Deep Reinforcement Learning from Human Preferences. NeurIPS.</w:t>
      </w:r>
    </w:p>
    <w:p>
      <w:pPr>
        <w:pStyle w:val="BodyText"/>
      </w:pPr>
      <w:r>
        <w:rPr>
          <w:rFonts w:ascii="Arial" w:hAnsi="Arial" w:cs="Arial"/>
        </w:rPr>
        <w:t xml:space="preserve">4. Amodei, D. et al. (2016). Concrete Problems in AI Safety. arXiv:1606.06565.</w:t>
      </w:r>
    </w:p>
    <w:p>
      <w:pPr>
        <w:pStyle w:val="BodyText"/>
      </w:pPr>
      <w:r>
        <w:rPr>
          <w:rFonts w:ascii="Arial" w:hAnsi="Arial" w:cs="Arial"/>
        </w:rPr>
        <w:t xml:space="preserve">5. Rawls, J. (1971). A Theory of Justice. Harvard University Press.</w:t>
      </w:r>
    </w:p>
    <w:p>
      <w:pPr>
        <w:pStyle w:val="BodyText"/>
      </w:pPr>
      <w:r>
        <w:rPr>
          <w:rFonts w:ascii="Arial" w:hAnsi="Arial" w:cs="Arial"/>
        </w:rPr>
        <w:t xml:space="preserve">6. Sen, A. (2009). The Idea of Justice. Harvard University Press.</w:t>
      </w:r>
    </w:p>
    <w:p>
      <w:pPr>
        <w:pStyle w:val="BodyText"/>
      </w:pPr>
      <w:r>
        <w:rPr>
          <w:rFonts w:ascii="Arial" w:hAnsi="Arial" w:cs="Arial"/>
        </w:rPr>
        <w:t xml:space="preserve">7. IEEE (2019). Ethically Aligned Design: A Vision for Prioritizing Human Well-being with Autonomous and Intelligent Systems, First Edition.</w:t>
      </w:r>
    </w:p>
    <w:p>
      <w:pPr>
        <w:pStyle w:val="BodyText"/>
      </w:pPr>
      <w:r>
        <w:rPr>
          <w:rFonts w:ascii="Arial" w:hAnsi="Arial" w:cs="Arial"/>
        </w:rPr>
        <w:t xml:space="preserve">8. European Commission (2021). Proposal for a Regulation on Artificial Intelligence (AI Act).</w:t>
      </w:r>
    </w:p>
    <w:p>
      <w:pPr>
        <w:pStyle w:val="BodyText"/>
      </w:pPr>
      <w:r>
        <w:rPr>
          <w:rFonts w:ascii="Arial" w:hAnsi="Arial" w:cs="Arial"/>
          <w:i/>
        </w:rPr>
        <w:t xml:space="preserve">— End of Document —</w:t>
      </w:r>
    </w:p>
    <w:sectPr w:rsidR="00FC693F" w:rsidRPr="0006063C" w:rsidSect="00034616">
      <w:headerReference w:type="default" r:id="rId9"/>
      <w:footerReference w:type="default" r:id="rId10"/>
      <w:pgSz w:w="12240" w:h="15840"/>
      <w:pgMar w:top="1440" w:right="1728" w:bottom="1440" w:left="1728"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8"/>
      </w:rPr>
      <w:t xml:space="preserve">Page </w:t>
    </w:r>
    <w:r>
      <w:fldChar w:fldCharType="begin"/>
    </w:r>
    <w:r>
      <w:instrText xml:space="preserve"> PAGE </w:instrText>
    </w:r>
    <w:r>
      <w:fldChar w:fldCharType="end"/>
    </w:r>
    <w:r>
      <w:rPr>
        <w:rFonts w:ascii="Arial" w:hAnsi="Arial"/>
        <w:sz w:val="18"/>
      </w:rPr>
      <w:t xml:space="preserve"> of </w:t>
    </w:r>
    <w:r>
      <w:fldChar w:fldCharType="begin"/>
    </w:r>
    <w:r>
      <w:instrText xml:space="preserve"> NUMPAGES </w:instrText>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color w:val="808080"/>
        <w:sz w:val="16"/>
      </w:rPr>
      <w:t>DAOTONG · AI Ethics &amp; Value Alignment System Specification · Confidentiality: Public</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1">
    <w:nsid w:val="71315dca"/>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Arial" w:hAnsi="Arial"/>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20" Type="http://schemas.openxmlformats.org/officeDocument/2006/relationships/image" Target="media/rId20.pn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2026-06-28T11:29:12Z</dcterms:created>
  <dcterms:modified xsi:type="dcterms:W3CDTF">2026-06-28T11:29:12Z</dcterms:modified>
</cp:coreProperties>
</file>

<file path=docProps/custom.xml><?xml version="1.0" encoding="utf-8"?>
<Properties xmlns="http://schemas.openxmlformats.org/officeDocument/2006/custom-properties" xmlns:vt="http://schemas.openxmlformats.org/officeDocument/2006/docPropsVTypes"/>
</file>